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D3" w:rsidRDefault="00F91B2B">
      <w:pPr>
        <w:spacing w:line="360" w:lineRule="auto"/>
        <w:jc w:val="center"/>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义务教育化学超标超前培训负面清单（试行）</w:t>
      </w:r>
    </w:p>
    <w:p w:rsidR="007073D3" w:rsidRDefault="007073D3">
      <w:pPr>
        <w:spacing w:line="360" w:lineRule="auto"/>
        <w:jc w:val="left"/>
        <w:rPr>
          <w:rFonts w:asciiTheme="minorEastAsia" w:hAnsiTheme="minorEastAsia" w:cstheme="minorHAnsi"/>
          <w:b/>
          <w:bCs/>
          <w:color w:val="000000" w:themeColor="text1"/>
          <w:sz w:val="24"/>
        </w:rPr>
      </w:pPr>
    </w:p>
    <w:p w:rsidR="007073D3" w:rsidRDefault="00F91B2B">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一、原则要求</w:t>
      </w:r>
    </w:p>
    <w:p w:rsidR="007073D3" w:rsidRDefault="00F91B2B">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sz w:val="24"/>
        </w:rPr>
        <w:t>1.培训</w:t>
      </w:r>
      <w:r>
        <w:rPr>
          <w:rFonts w:asciiTheme="minorEastAsia" w:hAnsiTheme="minorEastAsia" w:cs="Times New Roman" w:hint="eastAsia"/>
          <w:color w:val="000000" w:themeColor="text1"/>
          <w:sz w:val="24"/>
        </w:rPr>
        <w:t>不得超出现行义务教育化学课程标准规定的要求，禁止将现行普通高中化学课程标准规定的目标与内容提前至义务教育阶段教学与</w:t>
      </w:r>
      <w:r>
        <w:rPr>
          <w:rFonts w:asciiTheme="minorEastAsia" w:hAnsiTheme="minorEastAsia" w:cs="Times New Roman"/>
          <w:color w:val="000000" w:themeColor="text1"/>
          <w:sz w:val="24"/>
        </w:rPr>
        <w:t>测评</w:t>
      </w:r>
      <w:r>
        <w:rPr>
          <w:rFonts w:asciiTheme="minorEastAsia" w:hAnsiTheme="minorEastAsia" w:cs="Times New Roman" w:hint="eastAsia"/>
          <w:color w:val="000000" w:themeColor="text1"/>
          <w:sz w:val="24"/>
        </w:rPr>
        <w:t>。</w:t>
      </w:r>
    </w:p>
    <w:p w:rsidR="007073D3" w:rsidRDefault="00F91B2B">
      <w:pPr>
        <w:adjustRightInd w:val="0"/>
        <w:snapToGrid w:val="0"/>
        <w:spacing w:line="400" w:lineRule="exact"/>
        <w:ind w:firstLineChars="200" w:firstLine="480"/>
        <w:rPr>
          <w:rFonts w:asciiTheme="minorEastAsia" w:hAnsiTheme="minorEastAsia" w:cs="Times New Roman"/>
          <w:sz w:val="24"/>
        </w:rPr>
      </w:pPr>
      <w:r>
        <w:rPr>
          <w:rFonts w:asciiTheme="minorEastAsia" w:hAnsiTheme="minorEastAsia" w:cs="Times New Roman" w:hint="eastAsia"/>
          <w:sz w:val="24"/>
        </w:rPr>
        <w:t>2.培训</w:t>
      </w:r>
      <w:r>
        <w:rPr>
          <w:rFonts w:asciiTheme="minorEastAsia" w:hAnsiTheme="minorEastAsia" w:cs="Times New Roman"/>
          <w:sz w:val="24"/>
        </w:rPr>
        <w:t>内容不得超出本地区使用的义务教育化学教科书的</w:t>
      </w:r>
      <w:r>
        <w:rPr>
          <w:rFonts w:asciiTheme="minorEastAsia" w:hAnsiTheme="minorEastAsia" w:cs="Times New Roman" w:hint="eastAsia"/>
          <w:sz w:val="24"/>
        </w:rPr>
        <w:t>难度</w:t>
      </w:r>
      <w:r>
        <w:rPr>
          <w:rFonts w:asciiTheme="minorEastAsia" w:hAnsiTheme="minorEastAsia" w:cs="Times New Roman"/>
          <w:sz w:val="24"/>
        </w:rPr>
        <w:t>。</w:t>
      </w:r>
    </w:p>
    <w:p w:rsidR="007073D3" w:rsidRDefault="00F91B2B">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sz w:val="24"/>
        </w:rPr>
        <w:t>3.培训</w:t>
      </w:r>
      <w:r>
        <w:rPr>
          <w:rFonts w:asciiTheme="minorEastAsia" w:hAnsiTheme="minorEastAsia" w:cs="Times New Roman" w:hint="eastAsia"/>
          <w:color w:val="000000" w:themeColor="text1"/>
          <w:sz w:val="24"/>
        </w:rPr>
        <w:t>不得超过所在县（市、区）化学教学的同期进度</w:t>
      </w:r>
      <w:r>
        <w:rPr>
          <w:rFonts w:asciiTheme="minorEastAsia" w:hAnsiTheme="minorEastAsia" w:cs="Times New Roman"/>
          <w:color w:val="000000" w:themeColor="text1"/>
          <w:sz w:val="24"/>
        </w:rPr>
        <w:t>和要求</w:t>
      </w:r>
      <w:r>
        <w:rPr>
          <w:rFonts w:asciiTheme="minorEastAsia" w:hAnsiTheme="minorEastAsia" w:cs="Times New Roman" w:hint="eastAsia"/>
          <w:color w:val="000000" w:themeColor="text1"/>
          <w:sz w:val="24"/>
        </w:rPr>
        <w:t>，禁止在寒暑假培训下学期教科书的</w:t>
      </w:r>
      <w:r>
        <w:rPr>
          <w:rFonts w:asciiTheme="minorEastAsia" w:hAnsiTheme="minorEastAsia" w:cs="Times New Roman"/>
          <w:color w:val="000000" w:themeColor="text1"/>
          <w:sz w:val="24"/>
        </w:rPr>
        <w:t>知识</w:t>
      </w:r>
      <w:r>
        <w:rPr>
          <w:rFonts w:asciiTheme="minorEastAsia" w:hAnsiTheme="minorEastAsia" w:cs="Times New Roman" w:hint="eastAsia"/>
          <w:color w:val="000000" w:themeColor="text1"/>
          <w:sz w:val="24"/>
        </w:rPr>
        <w:t>内容，</w:t>
      </w:r>
      <w:r>
        <w:rPr>
          <w:rFonts w:asciiTheme="minorEastAsia" w:hAnsiTheme="minorEastAsia" w:cs="Times New Roman"/>
          <w:sz w:val="24"/>
        </w:rPr>
        <w:t>禁止在九年级寒假之前及寒假期间进行系统的中考复习。</w:t>
      </w:r>
    </w:p>
    <w:p w:rsidR="007073D3" w:rsidRDefault="00F91B2B">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sz w:val="24"/>
        </w:rPr>
        <w:t>4.</w:t>
      </w:r>
      <w:r>
        <w:rPr>
          <w:rFonts w:asciiTheme="minorEastAsia" w:hAnsiTheme="minorEastAsia" w:cs="Times New Roman" w:hint="eastAsia"/>
          <w:color w:val="000000" w:themeColor="text1"/>
          <w:sz w:val="24"/>
        </w:rPr>
        <w:t>禁止</w:t>
      </w:r>
      <w:r>
        <w:rPr>
          <w:rFonts w:asciiTheme="minorEastAsia" w:hAnsiTheme="minorEastAsia" w:cs="Times New Roman"/>
          <w:color w:val="000000" w:themeColor="text1"/>
          <w:sz w:val="24"/>
        </w:rPr>
        <w:t>使用繁、难、偏、怪的</w:t>
      </w:r>
      <w:r>
        <w:rPr>
          <w:rFonts w:asciiTheme="minorEastAsia" w:hAnsiTheme="minorEastAsia" w:cs="Times New Roman" w:hint="eastAsia"/>
          <w:color w:val="000000" w:themeColor="text1"/>
          <w:sz w:val="24"/>
        </w:rPr>
        <w:t>练习</w:t>
      </w:r>
      <w:r>
        <w:rPr>
          <w:rFonts w:asciiTheme="minorEastAsia" w:hAnsiTheme="minorEastAsia" w:cs="Times New Roman"/>
          <w:color w:val="000000" w:themeColor="text1"/>
          <w:sz w:val="24"/>
        </w:rPr>
        <w:t>题。</w:t>
      </w:r>
    </w:p>
    <w:p w:rsidR="007073D3" w:rsidRDefault="007073D3">
      <w:pPr>
        <w:spacing w:line="360" w:lineRule="auto"/>
        <w:jc w:val="left"/>
        <w:rPr>
          <w:rFonts w:asciiTheme="minorEastAsia" w:hAnsiTheme="minorEastAsia" w:cstheme="minorHAnsi"/>
          <w:b/>
          <w:bCs/>
          <w:color w:val="000000" w:themeColor="text1"/>
          <w:sz w:val="24"/>
        </w:rPr>
      </w:pPr>
    </w:p>
    <w:p w:rsidR="007073D3" w:rsidRDefault="00F91B2B">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二、典型问题</w:t>
      </w:r>
    </w:p>
    <w:tbl>
      <w:tblPr>
        <w:tblStyle w:val="a7"/>
        <w:tblW w:w="8522" w:type="dxa"/>
        <w:tblLayout w:type="fixed"/>
        <w:tblLook w:val="04A0"/>
      </w:tblPr>
      <w:tblGrid>
        <w:gridCol w:w="1271"/>
        <w:gridCol w:w="1843"/>
        <w:gridCol w:w="5408"/>
      </w:tblGrid>
      <w:tr w:rsidR="007073D3">
        <w:trPr>
          <w:trHeight w:val="362"/>
        </w:trPr>
        <w:tc>
          <w:tcPr>
            <w:tcW w:w="1271" w:type="dxa"/>
            <w:vAlign w:val="center"/>
          </w:tcPr>
          <w:p w:rsidR="007073D3" w:rsidRDefault="00F91B2B">
            <w:pPr>
              <w:jc w:val="center"/>
              <w:rPr>
                <w:rFonts w:ascii="宋体" w:eastAsia="宋体" w:hAnsi="宋体"/>
                <w:b/>
                <w:szCs w:val="21"/>
              </w:rPr>
            </w:pPr>
            <w:r>
              <w:rPr>
                <w:rFonts w:ascii="宋体" w:eastAsia="宋体" w:hAnsi="宋体" w:hint="eastAsia"/>
                <w:b/>
                <w:szCs w:val="21"/>
              </w:rPr>
              <w:t>一级主题</w:t>
            </w:r>
          </w:p>
        </w:tc>
        <w:tc>
          <w:tcPr>
            <w:tcW w:w="1843" w:type="dxa"/>
            <w:vAlign w:val="center"/>
          </w:tcPr>
          <w:p w:rsidR="007073D3" w:rsidRDefault="00F91B2B">
            <w:pPr>
              <w:jc w:val="center"/>
              <w:rPr>
                <w:rFonts w:ascii="宋体" w:eastAsia="宋体" w:hAnsi="宋体"/>
                <w:b/>
                <w:szCs w:val="21"/>
              </w:rPr>
            </w:pPr>
            <w:r>
              <w:rPr>
                <w:rFonts w:ascii="宋体" w:eastAsia="宋体" w:hAnsi="宋体" w:hint="eastAsia"/>
                <w:b/>
                <w:szCs w:val="21"/>
              </w:rPr>
              <w:t>二级主题</w:t>
            </w:r>
          </w:p>
        </w:tc>
        <w:tc>
          <w:tcPr>
            <w:tcW w:w="5408" w:type="dxa"/>
            <w:vAlign w:val="center"/>
          </w:tcPr>
          <w:p w:rsidR="007073D3" w:rsidRDefault="00F91B2B">
            <w:pPr>
              <w:jc w:val="center"/>
              <w:rPr>
                <w:rFonts w:ascii="宋体" w:eastAsia="宋体" w:hAnsi="宋体"/>
                <w:b/>
                <w:szCs w:val="21"/>
              </w:rPr>
            </w:pPr>
            <w:r>
              <w:rPr>
                <w:rFonts w:ascii="宋体" w:eastAsia="宋体" w:hAnsi="宋体" w:hint="eastAsia"/>
                <w:b/>
                <w:szCs w:val="21"/>
              </w:rPr>
              <w:t>超标内容</w:t>
            </w:r>
          </w:p>
        </w:tc>
      </w:tr>
      <w:tr w:rsidR="007073D3">
        <w:trPr>
          <w:trHeight w:val="792"/>
        </w:trPr>
        <w:tc>
          <w:tcPr>
            <w:tcW w:w="1271" w:type="dxa"/>
            <w:vMerge w:val="restart"/>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一、科学探究</w:t>
            </w: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（一）增进对科学探究的理解</w:t>
            </w:r>
          </w:p>
        </w:tc>
        <w:tc>
          <w:tcPr>
            <w:tcW w:w="5408" w:type="dxa"/>
            <w:vAlign w:val="center"/>
          </w:tcPr>
          <w:p w:rsidR="007073D3" w:rsidRDefault="00F91B2B">
            <w:pPr>
              <w:pStyle w:val="a8"/>
              <w:numPr>
                <w:ilvl w:val="0"/>
                <w:numId w:val="8"/>
              </w:numPr>
              <w:ind w:firstLineChars="0"/>
              <w:rPr>
                <w:rFonts w:ascii="Times New Roman" w:eastAsia="宋体" w:hAnsi="Times New Roman" w:cs="Times New Roman"/>
                <w:szCs w:val="21"/>
              </w:rPr>
            </w:pPr>
            <w:r>
              <w:rPr>
                <w:rFonts w:ascii="Times New Roman" w:eastAsia="宋体" w:hAnsi="Times New Roman" w:cs="Times New Roman" w:hint="eastAsia"/>
                <w:szCs w:val="21"/>
              </w:rPr>
              <w:t>高中阶段</w:t>
            </w:r>
            <w:r>
              <w:rPr>
                <w:rFonts w:ascii="Times New Roman" w:eastAsia="宋体" w:hAnsi="Times New Roman" w:cs="Times New Roman"/>
                <w:szCs w:val="21"/>
              </w:rPr>
              <w:t>的实验探究活动</w:t>
            </w:r>
          </w:p>
        </w:tc>
      </w:tr>
      <w:tr w:rsidR="007073D3">
        <w:trPr>
          <w:trHeight w:val="567"/>
        </w:trPr>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（二）发展科学探究能力</w:t>
            </w:r>
          </w:p>
        </w:tc>
        <w:tc>
          <w:tcPr>
            <w:tcW w:w="5408" w:type="dxa"/>
            <w:vAlign w:val="center"/>
          </w:tcPr>
          <w:p w:rsidR="007073D3" w:rsidRDefault="00F91B2B">
            <w:pPr>
              <w:pStyle w:val="a8"/>
              <w:numPr>
                <w:ilvl w:val="0"/>
                <w:numId w:val="8"/>
              </w:numPr>
              <w:ind w:firstLineChars="0"/>
              <w:rPr>
                <w:rFonts w:ascii="Times New Roman" w:eastAsia="宋体" w:hAnsi="Times New Roman" w:cs="Times New Roman"/>
                <w:szCs w:val="21"/>
              </w:rPr>
            </w:pPr>
            <w:r>
              <w:rPr>
                <w:rFonts w:ascii="Times New Roman" w:eastAsia="宋体" w:hAnsi="Times New Roman" w:cs="Times New Roman"/>
                <w:szCs w:val="21"/>
              </w:rPr>
              <w:t>正交实验法</w:t>
            </w:r>
          </w:p>
        </w:tc>
      </w:tr>
      <w:tr w:rsidR="007073D3">
        <w:trPr>
          <w:trHeight w:val="1039"/>
        </w:trPr>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（三）学习基本的实验技能</w:t>
            </w:r>
          </w:p>
        </w:tc>
        <w:tc>
          <w:tcPr>
            <w:tcW w:w="5408" w:type="dxa"/>
            <w:vAlign w:val="center"/>
          </w:tcPr>
          <w:p w:rsidR="007073D3" w:rsidRDefault="00F91B2B">
            <w:pPr>
              <w:pStyle w:val="a8"/>
              <w:numPr>
                <w:ilvl w:val="0"/>
                <w:numId w:val="8"/>
              </w:numPr>
              <w:ind w:firstLineChars="0"/>
              <w:rPr>
                <w:rFonts w:ascii="Times New Roman" w:eastAsia="宋体" w:hAnsi="Times New Roman" w:cs="Times New Roman"/>
                <w:szCs w:val="21"/>
              </w:rPr>
            </w:pPr>
            <w:r>
              <w:rPr>
                <w:rFonts w:ascii="Times New Roman" w:eastAsia="宋体" w:hAnsi="Times New Roman" w:cs="Times New Roman"/>
                <w:szCs w:val="21"/>
              </w:rPr>
              <w:t>酒精喷灯、滴定管、移液管等仪器的使用</w:t>
            </w:r>
          </w:p>
          <w:p w:rsidR="007073D3" w:rsidRDefault="00F91B2B">
            <w:pPr>
              <w:pStyle w:val="a8"/>
              <w:numPr>
                <w:ilvl w:val="0"/>
                <w:numId w:val="8"/>
              </w:numPr>
              <w:ind w:firstLineChars="0"/>
              <w:rPr>
                <w:rFonts w:ascii="Times New Roman" w:eastAsia="宋体" w:hAnsi="Times New Roman" w:cs="Times New Roman"/>
                <w:szCs w:val="21"/>
              </w:rPr>
            </w:pPr>
            <w:r>
              <w:rPr>
                <w:rFonts w:ascii="Times New Roman" w:eastAsia="宋体" w:hAnsi="Times New Roman" w:cs="Times New Roman"/>
                <w:szCs w:val="21"/>
              </w:rPr>
              <w:t>萃取和分液的操作</w:t>
            </w:r>
          </w:p>
          <w:p w:rsidR="007073D3" w:rsidRDefault="00F91B2B">
            <w:pPr>
              <w:pStyle w:val="a8"/>
              <w:numPr>
                <w:ilvl w:val="0"/>
                <w:numId w:val="8"/>
              </w:numPr>
              <w:ind w:firstLineChars="0"/>
              <w:rPr>
                <w:rFonts w:ascii="Times New Roman" w:eastAsia="宋体" w:hAnsi="Times New Roman" w:cs="Times New Roman"/>
                <w:szCs w:val="21"/>
              </w:rPr>
            </w:pPr>
            <w:r>
              <w:rPr>
                <w:rFonts w:ascii="Times New Roman" w:eastAsia="宋体" w:hAnsi="Times New Roman" w:cs="Times New Roman"/>
                <w:szCs w:val="21"/>
              </w:rPr>
              <w:t>蒸馏、</w:t>
            </w:r>
            <w:r>
              <w:rPr>
                <w:rFonts w:ascii="Times New Roman" w:eastAsia="宋体" w:hAnsi="Times New Roman" w:cs="Times New Roman" w:hint="eastAsia"/>
                <w:szCs w:val="21"/>
              </w:rPr>
              <w:t>分馏的</w:t>
            </w:r>
            <w:r>
              <w:rPr>
                <w:rFonts w:ascii="Times New Roman" w:eastAsia="宋体" w:hAnsi="Times New Roman" w:cs="Times New Roman"/>
                <w:szCs w:val="21"/>
              </w:rPr>
              <w:t>操作（</w:t>
            </w:r>
            <w:r>
              <w:rPr>
                <w:rFonts w:ascii="Times New Roman" w:eastAsia="宋体" w:hAnsi="Times New Roman" w:cs="Times New Roman" w:hint="eastAsia"/>
                <w:szCs w:val="21"/>
              </w:rPr>
              <w:t>例如，</w:t>
            </w:r>
            <w:r>
              <w:rPr>
                <w:rFonts w:ascii="Times New Roman" w:eastAsia="宋体" w:hAnsi="Times New Roman" w:cs="Times New Roman"/>
                <w:szCs w:val="21"/>
              </w:rPr>
              <w:t>冷凝管</w:t>
            </w:r>
            <w:r>
              <w:rPr>
                <w:rFonts w:ascii="Times New Roman" w:eastAsia="宋体" w:hAnsi="Times New Roman" w:cs="Times New Roman" w:hint="eastAsia"/>
                <w:szCs w:val="21"/>
              </w:rPr>
              <w:t>的</w:t>
            </w:r>
            <w:r>
              <w:rPr>
                <w:rFonts w:ascii="Times New Roman" w:eastAsia="宋体" w:hAnsi="Times New Roman" w:cs="Times New Roman"/>
                <w:szCs w:val="21"/>
              </w:rPr>
              <w:t>使用）</w:t>
            </w:r>
          </w:p>
        </w:tc>
      </w:tr>
      <w:tr w:rsidR="007073D3">
        <w:trPr>
          <w:trHeight w:val="700"/>
        </w:trPr>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（四）完成基础的学生实验</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高中阶段的学生必做实验</w:t>
            </w:r>
          </w:p>
        </w:tc>
      </w:tr>
      <w:tr w:rsidR="007073D3">
        <w:trPr>
          <w:trHeight w:val="346"/>
        </w:trPr>
        <w:tc>
          <w:tcPr>
            <w:tcW w:w="1271" w:type="dxa"/>
            <w:vMerge w:val="restart"/>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二、身边的化学物质</w:t>
            </w: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（一）我们周围的空气</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镁条在二氧化碳、氮气中燃烧的反应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呼吸作用和光合作用的</w:t>
            </w:r>
            <w:r>
              <w:rPr>
                <w:rFonts w:ascii="Times New Roman" w:eastAsia="宋体" w:hAnsi="Times New Roman" w:cs="Times New Roman" w:hint="eastAsia"/>
                <w:szCs w:val="21"/>
              </w:rPr>
              <w:t>化学</w:t>
            </w:r>
            <w:r>
              <w:rPr>
                <w:rFonts w:ascii="Times New Roman" w:eastAsia="宋体" w:hAnsi="Times New Roman" w:cs="Times New Roman"/>
                <w:szCs w:val="21"/>
              </w:rPr>
              <w:t>方程式</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臭氧、</w:t>
            </w:r>
            <w:r>
              <w:rPr>
                <w:rFonts w:ascii="Times New Roman" w:eastAsia="宋体" w:hAnsi="Times New Roman" w:cs="Times New Roman"/>
                <w:szCs w:val="21"/>
              </w:rPr>
              <w:t>二氧化硫</w:t>
            </w:r>
            <w:r>
              <w:rPr>
                <w:rFonts w:ascii="Times New Roman" w:eastAsia="宋体" w:hAnsi="Times New Roman" w:cs="Times New Roman" w:hint="eastAsia"/>
                <w:szCs w:val="21"/>
              </w:rPr>
              <w:t>、氮氧化物</w:t>
            </w:r>
            <w:r>
              <w:rPr>
                <w:rFonts w:ascii="Times New Roman" w:eastAsia="宋体" w:hAnsi="Times New Roman" w:cs="Times New Roman"/>
                <w:szCs w:val="21"/>
              </w:rPr>
              <w:t>的性质</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过量二氧化碳使</w:t>
            </w:r>
            <w:r>
              <w:rPr>
                <w:rFonts w:ascii="Times New Roman" w:eastAsia="宋体" w:hAnsi="Times New Roman" w:cs="Times New Roman"/>
                <w:szCs w:val="21"/>
              </w:rPr>
              <w:t>浑浊石灰水变澄清的反应</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（二）水与常见的溶液</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电解水时，加入氢氧化钠、稀硫酸等物质增强导电性的原理</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明矾净水涉及到的反应的化学方程式</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硬水软化涉及到的反应的化学方程式</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萃取和分液</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多种有机物之间的互相溶解</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重结晶</w:t>
            </w:r>
          </w:p>
          <w:p w:rsidR="007073D3" w:rsidRDefault="00F91B2B">
            <w:pPr>
              <w:pStyle w:val="a8"/>
              <w:numPr>
                <w:ilvl w:val="0"/>
                <w:numId w:val="9"/>
              </w:numPr>
              <w:ind w:firstLineChars="0"/>
              <w:rPr>
                <w:rFonts w:ascii="Times New Roman" w:eastAsia="宋体" w:hAnsi="Times New Roman" w:cs="Times New Roman"/>
                <w:szCs w:val="21"/>
              </w:rPr>
            </w:pPr>
            <w:bookmarkStart w:id="0" w:name="_Hlk35952773"/>
            <w:r>
              <w:rPr>
                <w:rFonts w:ascii="Times New Roman" w:eastAsia="宋体" w:hAnsi="Times New Roman" w:cs="Times New Roman" w:hint="eastAsia"/>
                <w:szCs w:val="21"/>
              </w:rPr>
              <w:t>分散</w:t>
            </w:r>
            <w:proofErr w:type="gramStart"/>
            <w:r>
              <w:rPr>
                <w:rFonts w:ascii="Times New Roman" w:eastAsia="宋体" w:hAnsi="Times New Roman" w:cs="Times New Roman" w:hint="eastAsia"/>
                <w:szCs w:val="21"/>
              </w:rPr>
              <w:t>系概念</w:t>
            </w:r>
            <w:proofErr w:type="gramEnd"/>
            <w:r>
              <w:rPr>
                <w:rFonts w:ascii="Times New Roman" w:eastAsia="宋体" w:hAnsi="Times New Roman" w:cs="Times New Roman" w:hint="eastAsia"/>
                <w:szCs w:val="21"/>
              </w:rPr>
              <w:t>及其分类</w:t>
            </w:r>
            <w:bookmarkEnd w:id="0"/>
          </w:p>
          <w:p w:rsidR="007073D3" w:rsidRDefault="00F91B2B">
            <w:pPr>
              <w:pStyle w:val="a8"/>
              <w:numPr>
                <w:ilvl w:val="0"/>
                <w:numId w:val="9"/>
              </w:numPr>
              <w:ind w:firstLineChars="0"/>
              <w:rPr>
                <w:rFonts w:ascii="Times New Roman" w:eastAsia="宋体" w:hAnsi="Times New Roman" w:cs="Times New Roman"/>
                <w:szCs w:val="21"/>
              </w:rPr>
            </w:pPr>
            <w:bookmarkStart w:id="1" w:name="_Hlk22623529"/>
            <w:r>
              <w:rPr>
                <w:rFonts w:ascii="Times New Roman" w:eastAsia="宋体" w:hAnsi="Times New Roman" w:cs="Times New Roman" w:hint="eastAsia"/>
                <w:szCs w:val="21"/>
              </w:rPr>
              <w:t>胶体的性质</w:t>
            </w:r>
            <w:bookmarkEnd w:id="1"/>
            <w:r>
              <w:rPr>
                <w:rFonts w:ascii="Times New Roman" w:eastAsia="宋体" w:hAnsi="Times New Roman" w:cs="Times New Roman" w:hint="eastAsia"/>
                <w:szCs w:val="21"/>
              </w:rPr>
              <w:t>（例如，丁达尔现象）</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相似相溶</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溶解平衡（过饱和）</w:t>
            </w:r>
          </w:p>
          <w:p w:rsidR="007073D3" w:rsidRDefault="00F91B2B">
            <w:pPr>
              <w:pStyle w:val="a8"/>
              <w:numPr>
                <w:ilvl w:val="0"/>
                <w:numId w:val="9"/>
              </w:numPr>
              <w:ind w:firstLineChars="0"/>
              <w:rPr>
                <w:rFonts w:ascii="Times New Roman" w:eastAsia="宋体" w:hAnsi="Times New Roman" w:cs="Times New Roman"/>
                <w:szCs w:val="21"/>
              </w:rPr>
            </w:pPr>
            <w:bookmarkStart w:id="2" w:name="_Hlk35952912"/>
            <w:r>
              <w:rPr>
                <w:rFonts w:ascii="Times New Roman" w:eastAsia="宋体" w:hAnsi="Times New Roman" w:cs="Times New Roman" w:hint="eastAsia"/>
                <w:szCs w:val="21"/>
              </w:rPr>
              <w:t>溶解度、溶液浓度的复杂计算（例如，蒸发或降温结</w:t>
            </w:r>
            <w:r>
              <w:rPr>
                <w:rFonts w:ascii="Times New Roman" w:eastAsia="宋体" w:hAnsi="Times New Roman" w:cs="Times New Roman" w:hint="eastAsia"/>
                <w:szCs w:val="21"/>
              </w:rPr>
              <w:lastRenderedPageBreak/>
              <w:t>晶情况下的计算，计算不同溶质的溶液混合后的溶液浓度）</w:t>
            </w:r>
            <w:bookmarkEnd w:id="2"/>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（三）金属与金属矿物</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铁盐和亚铁盐的相互转化，铁盐的氧化性</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铁在高温下与水蒸汽的反应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镁与热水的反应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有关铁、铜生锈反应的化学方程式</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铝和</w:t>
            </w:r>
            <w:proofErr w:type="gramStart"/>
            <w:r>
              <w:rPr>
                <w:rFonts w:ascii="Times New Roman" w:eastAsia="宋体" w:hAnsi="Times New Roman" w:cs="Times New Roman" w:hint="eastAsia"/>
                <w:szCs w:val="21"/>
              </w:rPr>
              <w:t>氢氧化钠</w:t>
            </w:r>
            <w:proofErr w:type="gramEnd"/>
            <w:r>
              <w:rPr>
                <w:rFonts w:ascii="Times New Roman" w:eastAsia="宋体" w:hAnsi="Times New Roman" w:cs="Times New Roman" w:hint="eastAsia"/>
                <w:szCs w:val="21"/>
              </w:rPr>
              <w:t>溶液的反应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钠分别与水、硫酸铜溶液、氧气等的反应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金属与浓硫酸、硝酸的反应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电解法、热分解法等金属冶炼的方法</w:t>
            </w:r>
          </w:p>
          <w:p w:rsidR="007073D3" w:rsidRDefault="00F91B2B">
            <w:pPr>
              <w:pStyle w:val="a8"/>
              <w:numPr>
                <w:ilvl w:val="0"/>
                <w:numId w:val="9"/>
              </w:numPr>
              <w:ind w:firstLineChars="0"/>
              <w:rPr>
                <w:rFonts w:ascii="Times New Roman" w:eastAsia="宋体" w:hAnsi="Times New Roman" w:cs="Times New Roman"/>
                <w:szCs w:val="21"/>
              </w:rPr>
            </w:pPr>
            <w:bookmarkStart w:id="3" w:name="_Hlk35953078"/>
            <w:r>
              <w:rPr>
                <w:rFonts w:ascii="Times New Roman" w:eastAsia="宋体" w:hAnsi="Times New Roman" w:cs="Times New Roman" w:hint="eastAsia"/>
                <w:szCs w:val="21"/>
              </w:rPr>
              <w:t>炼钢完整过程的原理</w:t>
            </w:r>
            <w:bookmarkEnd w:id="3"/>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（四）生活中常见的化合物</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bookmarkStart w:id="4" w:name="_Hlk22639159"/>
            <w:r>
              <w:rPr>
                <w:rFonts w:ascii="Times New Roman" w:eastAsia="宋体" w:hAnsi="Times New Roman" w:cs="Times New Roman" w:hint="eastAsia"/>
                <w:szCs w:val="21"/>
              </w:rPr>
              <w:t>除稀硫酸、盐酸、氢氧化钠、氢氧化钙以外的酸、碱的全面性质</w:t>
            </w:r>
            <w:bookmarkEnd w:id="4"/>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浓硫酸和硝酸的氧化性</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除食盐、纯碱、小苏打、碳酸钙以外的盐的全面性质</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酸式盐（碳酸氢钠除外）、碱式盐（碱式碳酸铜除外）、复盐（例如，硫酸铝钾）的化学式及其性质</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电解质、离子反应的概念</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侯氏制碱法的原理</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盐类的水解</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焰色反应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含氧酸、无氧酸、一元酸、二元酸、强酸、弱酸、强碱、弱碱、有机酸、无机酸等概念</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酸性氧化物、碱性氧化物、两性氧化物的概念</w:t>
            </w:r>
          </w:p>
        </w:tc>
      </w:tr>
      <w:tr w:rsidR="007073D3">
        <w:tc>
          <w:tcPr>
            <w:tcW w:w="1271" w:type="dxa"/>
            <w:vMerge w:val="restart"/>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三、物质构成的奥秘</w:t>
            </w: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（一）化学物质的多样性</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同素异形体、同分异构体的概念</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含氧酸、无氧酸、一元酸、二元酸、强酸、弱酸、强碱、弱碱、有机酸、无机酸等物质分类</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酸性氧化物、碱性氧化物、两性氧化物的物质分类</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（二）微粒构成物质</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质量数</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核外电子排布规律</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化学键、离子化合物、共价化合物的概念</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（三）认识化学元素</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元素周期律、金属性、非金属性、</w:t>
            </w:r>
            <w:proofErr w:type="gramStart"/>
            <w:r>
              <w:rPr>
                <w:rFonts w:ascii="Times New Roman" w:eastAsia="宋体" w:hAnsi="Times New Roman" w:cs="Times New Roman"/>
                <w:szCs w:val="21"/>
              </w:rPr>
              <w:t>最</w:t>
            </w:r>
            <w:proofErr w:type="gramEnd"/>
            <w:r>
              <w:rPr>
                <w:rFonts w:ascii="Times New Roman" w:eastAsia="宋体" w:hAnsi="Times New Roman" w:cs="Times New Roman"/>
                <w:szCs w:val="21"/>
              </w:rPr>
              <w:t>高价氧化物的水化物、气态氢化物</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核素、同位素</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（四）物质组成的表示</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不常见原子团的化合价（</w:t>
            </w:r>
            <w:r>
              <w:rPr>
                <w:rFonts w:ascii="Times New Roman" w:eastAsia="宋体" w:hAnsi="Times New Roman" w:cs="Times New Roman" w:hint="eastAsia"/>
                <w:szCs w:val="21"/>
              </w:rPr>
              <w:t>例如，</w:t>
            </w:r>
            <w:r>
              <w:rPr>
                <w:rFonts w:ascii="Times New Roman" w:eastAsia="宋体" w:hAnsi="Times New Roman" w:cs="Times New Roman"/>
                <w:szCs w:val="21"/>
              </w:rPr>
              <w:t>亚硫酸根、亚硫酸氢根、磷酸根、磷酸氢根、磷酸二氢根）</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物质的量、摩尔质量、阿伏加德罗常数</w:t>
            </w:r>
          </w:p>
        </w:tc>
      </w:tr>
      <w:tr w:rsidR="007073D3">
        <w:tc>
          <w:tcPr>
            <w:tcW w:w="1271" w:type="dxa"/>
            <w:vMerge w:val="restart"/>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四、物质的化学变化</w:t>
            </w: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（一）化学变化的基本特征</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二氧化锰催化分解</w:t>
            </w:r>
            <w:r>
              <w:rPr>
                <w:rFonts w:ascii="Times New Roman" w:eastAsia="宋体" w:hAnsi="Times New Roman" w:cs="Times New Roman" w:hint="eastAsia"/>
                <w:szCs w:val="21"/>
              </w:rPr>
              <w:t>过氧化氢</w:t>
            </w:r>
            <w:r>
              <w:rPr>
                <w:rFonts w:ascii="Times New Roman" w:eastAsia="宋体" w:hAnsi="Times New Roman" w:cs="Times New Roman"/>
                <w:szCs w:val="21"/>
              </w:rPr>
              <w:t>的反应</w:t>
            </w:r>
            <w:r>
              <w:rPr>
                <w:rFonts w:ascii="Times New Roman" w:eastAsia="宋体" w:hAnsi="Times New Roman" w:cs="Times New Roman" w:hint="eastAsia"/>
                <w:szCs w:val="21"/>
              </w:rPr>
              <w:t>机</w:t>
            </w:r>
            <w:r>
              <w:rPr>
                <w:rFonts w:ascii="Times New Roman" w:eastAsia="宋体" w:hAnsi="Times New Roman" w:cs="Times New Roman"/>
                <w:szCs w:val="21"/>
              </w:rPr>
              <w:t>理</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吸热反应和放热反应的表示方法（热化学方程式）</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（二）认识几种化学反应</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基于化合价升降的氧化反应和还原反应、氧化剂、还原剂</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多种金属和多种盐溶液组成的混合体系中的复杂反应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判断金属活动性顺序的复杂方法</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（三）质量守恒定律</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多步反应、几种反应并存、反应物不纯与原料损耗并存</w:t>
            </w:r>
            <w:r>
              <w:rPr>
                <w:rFonts w:ascii="Times New Roman" w:eastAsia="宋体" w:hAnsi="Times New Roman" w:cs="Times New Roman" w:hint="eastAsia"/>
                <w:szCs w:val="21"/>
              </w:rPr>
              <w:t>等</w:t>
            </w:r>
            <w:r>
              <w:rPr>
                <w:rFonts w:ascii="Times New Roman" w:eastAsia="宋体" w:hAnsi="Times New Roman" w:cs="Times New Roman"/>
                <w:szCs w:val="21"/>
              </w:rPr>
              <w:t>复杂</w:t>
            </w:r>
            <w:r>
              <w:rPr>
                <w:rFonts w:ascii="Times New Roman" w:eastAsia="宋体" w:hAnsi="Times New Roman" w:cs="Times New Roman" w:hint="eastAsia"/>
                <w:szCs w:val="21"/>
              </w:rPr>
              <w:t>化学方程式的</w:t>
            </w:r>
            <w:r>
              <w:rPr>
                <w:rFonts w:ascii="Times New Roman" w:eastAsia="宋体" w:hAnsi="Times New Roman" w:cs="Times New Roman"/>
                <w:szCs w:val="21"/>
              </w:rPr>
              <w:t>计算</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复杂化学方程式的配平（</w:t>
            </w:r>
            <w:r>
              <w:rPr>
                <w:rFonts w:ascii="Times New Roman" w:eastAsia="宋体" w:hAnsi="Times New Roman" w:cs="Times New Roman" w:hint="eastAsia"/>
                <w:szCs w:val="21"/>
              </w:rPr>
              <w:t>例如，</w:t>
            </w:r>
            <w:r>
              <w:rPr>
                <w:rFonts w:ascii="Times New Roman" w:eastAsia="宋体" w:hAnsi="Times New Roman" w:cs="Times New Roman"/>
                <w:szCs w:val="21"/>
              </w:rPr>
              <w:t>利用化合价升降、电子转移原理进行配平）</w:t>
            </w:r>
          </w:p>
        </w:tc>
      </w:tr>
      <w:tr w:rsidR="007073D3">
        <w:tc>
          <w:tcPr>
            <w:tcW w:w="1271" w:type="dxa"/>
            <w:vMerge w:val="restart"/>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五、化学与社会发展</w:t>
            </w: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（一）化学与能源和资源的利用</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过氧化钠与</w:t>
            </w:r>
            <w:r>
              <w:rPr>
                <w:rFonts w:ascii="Times New Roman" w:eastAsia="宋体" w:hAnsi="Times New Roman" w:cs="Times New Roman" w:hint="eastAsia"/>
                <w:szCs w:val="21"/>
              </w:rPr>
              <w:t>水、</w:t>
            </w:r>
            <w:r>
              <w:rPr>
                <w:rFonts w:ascii="Times New Roman" w:eastAsia="宋体" w:hAnsi="Times New Roman" w:cs="Times New Roman"/>
                <w:szCs w:val="21"/>
              </w:rPr>
              <w:t>二氧化碳的反应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除甲烷、酒精的可燃性之外的其他</w:t>
            </w:r>
            <w:r>
              <w:rPr>
                <w:rFonts w:ascii="Times New Roman" w:eastAsia="宋体" w:hAnsi="Times New Roman" w:cs="Times New Roman" w:hint="eastAsia"/>
                <w:szCs w:val="21"/>
              </w:rPr>
              <w:t>有机化合物</w:t>
            </w:r>
            <w:r>
              <w:rPr>
                <w:rFonts w:ascii="Times New Roman" w:eastAsia="宋体" w:hAnsi="Times New Roman" w:cs="Times New Roman"/>
                <w:szCs w:val="21"/>
              </w:rPr>
              <w:t>的</w:t>
            </w:r>
            <w:r>
              <w:rPr>
                <w:rFonts w:ascii="Times New Roman" w:eastAsia="宋体" w:hAnsi="Times New Roman" w:cs="Times New Roman" w:hint="eastAsia"/>
                <w:szCs w:val="21"/>
              </w:rPr>
              <w:t>全面</w:t>
            </w:r>
            <w:r>
              <w:rPr>
                <w:rFonts w:ascii="Times New Roman" w:eastAsia="宋体" w:hAnsi="Times New Roman" w:cs="Times New Roman"/>
                <w:szCs w:val="21"/>
              </w:rPr>
              <w:t>性质</w:t>
            </w:r>
          </w:p>
          <w:p w:rsidR="007073D3" w:rsidRDefault="00F91B2B">
            <w:pPr>
              <w:pStyle w:val="a8"/>
              <w:numPr>
                <w:ilvl w:val="0"/>
                <w:numId w:val="9"/>
              </w:numPr>
              <w:ind w:firstLineChars="0"/>
              <w:rPr>
                <w:rFonts w:ascii="Times New Roman" w:eastAsia="宋体" w:hAnsi="Times New Roman" w:cs="Times New Roman"/>
                <w:szCs w:val="21"/>
              </w:rPr>
            </w:pPr>
            <w:bookmarkStart w:id="5" w:name="_Hlk18313106"/>
            <w:bookmarkStart w:id="6" w:name="OLE_LINK16"/>
            <w:bookmarkStart w:id="7" w:name="OLE_LINK17"/>
            <w:r>
              <w:rPr>
                <w:rFonts w:ascii="Times New Roman" w:eastAsia="宋体" w:hAnsi="Times New Roman" w:cs="Times New Roman" w:hint="eastAsia"/>
                <w:szCs w:val="21"/>
              </w:rPr>
              <w:t>有机化合物</w:t>
            </w:r>
            <w:r>
              <w:rPr>
                <w:rFonts w:ascii="Times New Roman" w:eastAsia="宋体" w:hAnsi="Times New Roman" w:cs="Times New Roman"/>
                <w:szCs w:val="21"/>
              </w:rPr>
              <w:t>的结构</w:t>
            </w:r>
            <w:bookmarkEnd w:id="5"/>
            <w:bookmarkEnd w:id="6"/>
            <w:bookmarkEnd w:id="7"/>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hint="eastAsia"/>
                <w:szCs w:val="21"/>
              </w:rPr>
              <w:t>有机化合物</w:t>
            </w:r>
            <w:r>
              <w:rPr>
                <w:rFonts w:ascii="Times New Roman" w:eastAsia="宋体" w:hAnsi="Times New Roman" w:cs="Times New Roman"/>
                <w:szCs w:val="21"/>
              </w:rPr>
              <w:t>的命名方法</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（二）常见的化学合成材料</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有机</w:t>
            </w:r>
            <w:r>
              <w:rPr>
                <w:rFonts w:ascii="Times New Roman" w:eastAsia="宋体" w:hAnsi="Times New Roman" w:cs="Times New Roman" w:hint="eastAsia"/>
                <w:szCs w:val="21"/>
              </w:rPr>
              <w:t>化合物</w:t>
            </w:r>
            <w:r>
              <w:rPr>
                <w:rFonts w:ascii="Times New Roman" w:eastAsia="宋体" w:hAnsi="Times New Roman" w:cs="Times New Roman"/>
                <w:szCs w:val="21"/>
              </w:rPr>
              <w:t>结构与性质的联系</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通过加聚、缩聚等合成有机高分子材料的反应</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（三）化学物质与健康</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bookmarkStart w:id="8" w:name="_Hlk35953165"/>
            <w:r>
              <w:rPr>
                <w:rFonts w:ascii="Times New Roman" w:eastAsia="宋体" w:hAnsi="Times New Roman" w:cs="Times New Roman"/>
                <w:szCs w:val="21"/>
              </w:rPr>
              <w:t>人体内糖类</w:t>
            </w:r>
            <w:r>
              <w:rPr>
                <w:rFonts w:ascii="Times New Roman" w:eastAsia="宋体" w:hAnsi="Times New Roman" w:cs="Times New Roman" w:hint="eastAsia"/>
                <w:szCs w:val="21"/>
              </w:rPr>
              <w:t>（除葡萄糖外）</w:t>
            </w:r>
            <w:r>
              <w:rPr>
                <w:rFonts w:ascii="Times New Roman" w:eastAsia="宋体" w:hAnsi="Times New Roman" w:cs="Times New Roman"/>
                <w:szCs w:val="21"/>
              </w:rPr>
              <w:t>、油脂、蛋白质（氨基酸）代谢过程中的化学反应</w:t>
            </w:r>
            <w:bookmarkStart w:id="9" w:name="_Hlk18313092"/>
            <w:bookmarkEnd w:id="8"/>
          </w:p>
          <w:p w:rsidR="007073D3" w:rsidRDefault="00F91B2B">
            <w:pPr>
              <w:pStyle w:val="a8"/>
              <w:numPr>
                <w:ilvl w:val="0"/>
                <w:numId w:val="9"/>
              </w:numPr>
              <w:ind w:firstLineChars="0"/>
              <w:rPr>
                <w:rFonts w:ascii="Times New Roman" w:eastAsia="宋体" w:hAnsi="Times New Roman" w:cs="Times New Roman"/>
                <w:szCs w:val="21"/>
              </w:rPr>
            </w:pPr>
            <w:bookmarkStart w:id="10" w:name="_Hlk35953268"/>
            <w:r>
              <w:rPr>
                <w:rFonts w:ascii="Times New Roman" w:eastAsia="宋体" w:hAnsi="Times New Roman" w:cs="Times New Roman"/>
                <w:szCs w:val="21"/>
              </w:rPr>
              <w:t>甲醛、黄曲霉素</w:t>
            </w:r>
            <w:bookmarkEnd w:id="9"/>
            <w:r>
              <w:rPr>
                <w:rFonts w:ascii="Times New Roman" w:eastAsia="宋体" w:hAnsi="Times New Roman" w:cs="Times New Roman"/>
                <w:szCs w:val="21"/>
              </w:rPr>
              <w:t>等</w:t>
            </w:r>
            <w:r>
              <w:rPr>
                <w:rFonts w:ascii="Times New Roman" w:eastAsia="宋体" w:hAnsi="Times New Roman" w:cs="Times New Roman" w:hint="eastAsia"/>
                <w:szCs w:val="21"/>
              </w:rPr>
              <w:t>除了毒性以外的性质</w:t>
            </w:r>
          </w:p>
          <w:bookmarkEnd w:id="10"/>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糖的分类（单糖、二</w:t>
            </w:r>
            <w:r>
              <w:rPr>
                <w:rFonts w:ascii="Times New Roman" w:eastAsia="宋体" w:hAnsi="Times New Roman" w:cs="Times New Roman" w:hint="eastAsia"/>
                <w:szCs w:val="21"/>
              </w:rPr>
              <w:t>糖</w:t>
            </w:r>
            <w:r>
              <w:rPr>
                <w:rFonts w:ascii="Times New Roman" w:eastAsia="宋体" w:hAnsi="Times New Roman" w:cs="Times New Roman"/>
                <w:szCs w:val="21"/>
              </w:rPr>
              <w:t>、多糖）</w:t>
            </w:r>
          </w:p>
        </w:tc>
      </w:tr>
      <w:tr w:rsidR="007073D3">
        <w:tc>
          <w:tcPr>
            <w:tcW w:w="1271" w:type="dxa"/>
            <w:vMerge/>
            <w:vAlign w:val="center"/>
          </w:tcPr>
          <w:p w:rsidR="007073D3" w:rsidRDefault="007073D3">
            <w:pPr>
              <w:jc w:val="left"/>
              <w:rPr>
                <w:rFonts w:ascii="Times New Roman" w:eastAsia="宋体" w:hAnsi="Times New Roman" w:cs="Times New Roman"/>
                <w:b/>
                <w:bCs/>
                <w:szCs w:val="21"/>
              </w:rPr>
            </w:pPr>
          </w:p>
        </w:tc>
        <w:tc>
          <w:tcPr>
            <w:tcW w:w="1843" w:type="dxa"/>
            <w:vAlign w:val="center"/>
          </w:tcPr>
          <w:p w:rsidR="007073D3" w:rsidRDefault="00F91B2B">
            <w:pPr>
              <w:jc w:val="left"/>
              <w:rPr>
                <w:rFonts w:ascii="Times New Roman" w:eastAsia="宋体" w:hAnsi="Times New Roman" w:cs="Times New Roman"/>
                <w:b/>
                <w:bCs/>
                <w:szCs w:val="21"/>
              </w:rPr>
            </w:pPr>
            <w:r>
              <w:rPr>
                <w:rFonts w:ascii="Times New Roman" w:eastAsia="宋体" w:hAnsi="Times New Roman" w:cs="Times New Roman"/>
                <w:b/>
                <w:bCs/>
                <w:szCs w:val="21"/>
              </w:rPr>
              <w:t>（四）保护好我们的环境</w:t>
            </w:r>
          </w:p>
        </w:tc>
        <w:tc>
          <w:tcPr>
            <w:tcW w:w="5408" w:type="dxa"/>
            <w:vAlign w:val="center"/>
          </w:tcPr>
          <w:p w:rsidR="007073D3" w:rsidRDefault="00F91B2B">
            <w:pPr>
              <w:pStyle w:val="a8"/>
              <w:numPr>
                <w:ilvl w:val="0"/>
                <w:numId w:val="9"/>
              </w:numPr>
              <w:ind w:firstLineChars="0"/>
              <w:rPr>
                <w:rFonts w:ascii="Times New Roman" w:eastAsia="宋体" w:hAnsi="Times New Roman" w:cs="Times New Roman"/>
                <w:szCs w:val="21"/>
              </w:rPr>
            </w:pPr>
            <w:bookmarkStart w:id="11" w:name="_Hlk35953326"/>
            <w:r>
              <w:rPr>
                <w:rFonts w:ascii="Times New Roman" w:eastAsia="宋体" w:hAnsi="Times New Roman" w:cs="Times New Roman" w:hint="eastAsia"/>
                <w:szCs w:val="21"/>
              </w:rPr>
              <w:t>硫酸型和硝酸型</w:t>
            </w:r>
            <w:r>
              <w:rPr>
                <w:rFonts w:ascii="Times New Roman" w:eastAsia="宋体" w:hAnsi="Times New Roman" w:cs="Times New Roman"/>
                <w:szCs w:val="21"/>
              </w:rPr>
              <w:t>酸雨形成</w:t>
            </w:r>
            <w:bookmarkEnd w:id="11"/>
            <w:r>
              <w:rPr>
                <w:rFonts w:ascii="Times New Roman" w:eastAsia="宋体" w:hAnsi="Times New Roman" w:cs="Times New Roman" w:hint="eastAsia"/>
                <w:szCs w:val="21"/>
              </w:rPr>
              <w:t>过程涉及的化学反应</w:t>
            </w:r>
          </w:p>
          <w:p w:rsidR="007073D3" w:rsidRDefault="00F91B2B">
            <w:pPr>
              <w:pStyle w:val="a8"/>
              <w:numPr>
                <w:ilvl w:val="0"/>
                <w:numId w:val="9"/>
              </w:numPr>
              <w:ind w:firstLineChars="0"/>
              <w:rPr>
                <w:rFonts w:ascii="Times New Roman" w:eastAsia="宋体" w:hAnsi="Times New Roman" w:cs="Times New Roman"/>
                <w:szCs w:val="21"/>
              </w:rPr>
            </w:pPr>
            <w:r>
              <w:rPr>
                <w:rFonts w:ascii="Times New Roman" w:eastAsia="宋体" w:hAnsi="Times New Roman" w:cs="Times New Roman"/>
                <w:szCs w:val="21"/>
              </w:rPr>
              <w:t>垃圾处理、</w:t>
            </w:r>
            <w:r>
              <w:rPr>
                <w:rFonts w:ascii="Times New Roman" w:eastAsia="宋体" w:hAnsi="Times New Roman" w:cs="Times New Roman" w:hint="eastAsia"/>
                <w:szCs w:val="21"/>
              </w:rPr>
              <w:t>污水处理</w:t>
            </w:r>
            <w:r>
              <w:rPr>
                <w:rFonts w:ascii="Times New Roman" w:eastAsia="宋体" w:hAnsi="Times New Roman" w:cs="Times New Roman"/>
                <w:szCs w:val="21"/>
              </w:rPr>
              <w:t>等环境</w:t>
            </w:r>
            <w:r>
              <w:rPr>
                <w:rFonts w:ascii="Times New Roman" w:eastAsia="宋体" w:hAnsi="Times New Roman" w:cs="Times New Roman" w:hint="eastAsia"/>
                <w:szCs w:val="21"/>
              </w:rPr>
              <w:t>治理中</w:t>
            </w:r>
            <w:r>
              <w:rPr>
                <w:rFonts w:ascii="Times New Roman" w:eastAsia="宋体" w:hAnsi="Times New Roman" w:cs="Times New Roman"/>
                <w:szCs w:val="21"/>
              </w:rPr>
              <w:t>的复杂化学反应</w:t>
            </w:r>
          </w:p>
        </w:tc>
      </w:tr>
    </w:tbl>
    <w:p w:rsidR="007073D3" w:rsidRDefault="007073D3">
      <w:pPr>
        <w:rPr>
          <w:color w:val="000000" w:themeColor="text1"/>
        </w:rPr>
      </w:pPr>
    </w:p>
    <w:sectPr w:rsidR="007073D3" w:rsidSect="007073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7A0" w:rsidRDefault="00EE67A0" w:rsidP="007073D3">
      <w:r>
        <w:separator/>
      </w:r>
    </w:p>
  </w:endnote>
  <w:endnote w:type="continuationSeparator" w:id="0">
    <w:p w:rsidR="00EE67A0" w:rsidRDefault="00EE67A0" w:rsidP="007073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811"/>
    </w:sdtPr>
    <w:sdtContent>
      <w:p w:rsidR="007073D3" w:rsidRDefault="00373294">
        <w:pPr>
          <w:pStyle w:val="a5"/>
          <w:jc w:val="center"/>
        </w:pPr>
        <w:r>
          <w:fldChar w:fldCharType="begin"/>
        </w:r>
        <w:r w:rsidR="00F91B2B">
          <w:instrText>PAGE   \* MERGEFORMAT</w:instrText>
        </w:r>
        <w:r>
          <w:fldChar w:fldCharType="separate"/>
        </w:r>
        <w:r w:rsidR="00981E26" w:rsidRPr="00981E26">
          <w:rPr>
            <w:noProof/>
            <w:lang w:val="zh-CN"/>
          </w:rPr>
          <w:t>1</w:t>
        </w:r>
        <w:r>
          <w:fldChar w:fldCharType="end"/>
        </w:r>
      </w:p>
    </w:sdtContent>
  </w:sdt>
  <w:p w:rsidR="007073D3" w:rsidRDefault="007073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7A0" w:rsidRDefault="00EE67A0" w:rsidP="007073D3">
      <w:r>
        <w:separator/>
      </w:r>
    </w:p>
  </w:footnote>
  <w:footnote w:type="continuationSeparator" w:id="0">
    <w:p w:rsidR="00EE67A0" w:rsidRDefault="00EE67A0" w:rsidP="00707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075EE5"/>
    <w:multiLevelType w:val="singleLevel"/>
    <w:tmpl w:val="B4075EE5"/>
    <w:lvl w:ilvl="0">
      <w:start w:val="1"/>
      <w:numFmt w:val="bullet"/>
      <w:lvlText w:val=""/>
      <w:lvlJc w:val="left"/>
      <w:pPr>
        <w:ind w:left="420" w:hanging="420"/>
      </w:pPr>
      <w:rPr>
        <w:rFonts w:ascii="Wingdings" w:hAnsi="Wingdings" w:hint="default"/>
      </w:rPr>
    </w:lvl>
  </w:abstractNum>
  <w:abstractNum w:abstractNumId="1">
    <w:nsid w:val="028B3F7C"/>
    <w:multiLevelType w:val="multilevel"/>
    <w:tmpl w:val="028B3F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55677C"/>
    <w:multiLevelType w:val="multilevel"/>
    <w:tmpl w:val="045567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6C32340"/>
    <w:multiLevelType w:val="multilevel"/>
    <w:tmpl w:val="06C323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FF2497"/>
    <w:multiLevelType w:val="multilevel"/>
    <w:tmpl w:val="09FF2497"/>
    <w:lvl w:ilvl="0">
      <w:start w:val="3"/>
      <w:numFmt w:val="bullet"/>
      <w:lvlText w:val="●"/>
      <w:lvlJc w:val="left"/>
      <w:pPr>
        <w:ind w:left="360" w:hanging="360"/>
      </w:pPr>
      <w:rPr>
        <w:rFonts w:ascii="宋体" w:eastAsia="宋体" w:hAnsi="宋体" w:cs="宋体"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ED466F"/>
    <w:multiLevelType w:val="multilevel"/>
    <w:tmpl w:val="19ED46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CCB388"/>
    <w:multiLevelType w:val="singleLevel"/>
    <w:tmpl w:val="1CCCB388"/>
    <w:lvl w:ilvl="0">
      <w:start w:val="1"/>
      <w:numFmt w:val="bullet"/>
      <w:lvlText w:val=""/>
      <w:lvlJc w:val="left"/>
      <w:pPr>
        <w:ind w:left="420" w:hanging="420"/>
      </w:pPr>
      <w:rPr>
        <w:rFonts w:ascii="Wingdings" w:hAnsi="Wingdings" w:hint="default"/>
      </w:rPr>
    </w:lvl>
  </w:abstractNum>
  <w:abstractNum w:abstractNumId="7">
    <w:nsid w:val="221771E4"/>
    <w:multiLevelType w:val="multilevel"/>
    <w:tmpl w:val="22177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4D658BA"/>
    <w:multiLevelType w:val="multilevel"/>
    <w:tmpl w:val="24D658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2670BD"/>
    <w:multiLevelType w:val="multilevel"/>
    <w:tmpl w:val="2C2670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326D49"/>
    <w:multiLevelType w:val="multilevel"/>
    <w:tmpl w:val="44326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A060887"/>
    <w:multiLevelType w:val="multilevel"/>
    <w:tmpl w:val="4A0608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EB36A51"/>
    <w:multiLevelType w:val="multilevel"/>
    <w:tmpl w:val="4EB36A51"/>
    <w:lvl w:ilvl="0">
      <w:start w:val="3"/>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777F5A"/>
    <w:multiLevelType w:val="multilevel"/>
    <w:tmpl w:val="51777F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654E71"/>
    <w:multiLevelType w:val="singleLevel"/>
    <w:tmpl w:val="55654E71"/>
    <w:lvl w:ilvl="0">
      <w:start w:val="1"/>
      <w:numFmt w:val="bullet"/>
      <w:lvlText w:val=""/>
      <w:lvlJc w:val="left"/>
      <w:pPr>
        <w:ind w:left="420" w:hanging="420"/>
      </w:pPr>
      <w:rPr>
        <w:rFonts w:ascii="Wingdings" w:hAnsi="Wingdings" w:hint="default"/>
      </w:rPr>
    </w:lvl>
  </w:abstractNum>
  <w:abstractNum w:abstractNumId="15">
    <w:nsid w:val="58E92BC2"/>
    <w:multiLevelType w:val="singleLevel"/>
    <w:tmpl w:val="58E92BC2"/>
    <w:lvl w:ilvl="0">
      <w:start w:val="1"/>
      <w:numFmt w:val="bullet"/>
      <w:lvlText w:val=""/>
      <w:lvlJc w:val="left"/>
      <w:pPr>
        <w:ind w:left="420" w:hanging="420"/>
      </w:pPr>
      <w:rPr>
        <w:rFonts w:ascii="Wingdings" w:hAnsi="Wingdings" w:hint="default"/>
      </w:rPr>
    </w:lvl>
  </w:abstractNum>
  <w:abstractNum w:abstractNumId="16">
    <w:nsid w:val="62C02BC2"/>
    <w:multiLevelType w:val="multilevel"/>
    <w:tmpl w:val="62C02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6981FB4"/>
    <w:multiLevelType w:val="multilevel"/>
    <w:tmpl w:val="66981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BD2A96"/>
    <w:multiLevelType w:val="multilevel"/>
    <w:tmpl w:val="78BD2A96"/>
    <w:lvl w:ilvl="0">
      <w:start w:val="1"/>
      <w:numFmt w:val="bullet"/>
      <w:lvlText w:val="·"/>
      <w:lvlJc w:val="left"/>
      <w:pPr>
        <w:ind w:left="420" w:hanging="420"/>
      </w:pPr>
      <w:rPr>
        <w:rFonts w:ascii="仿宋" w:eastAsia="仿宋" w:hAnsi="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2"/>
  </w:num>
  <w:num w:numId="4">
    <w:abstractNumId w:val="4"/>
  </w:num>
  <w:num w:numId="5">
    <w:abstractNumId w:val="16"/>
  </w:num>
  <w:num w:numId="6">
    <w:abstractNumId w:val="0"/>
  </w:num>
  <w:num w:numId="7">
    <w:abstractNumId w:val="10"/>
  </w:num>
  <w:num w:numId="8">
    <w:abstractNumId w:val="15"/>
  </w:num>
  <w:num w:numId="9">
    <w:abstractNumId w:val="6"/>
  </w:num>
  <w:num w:numId="10">
    <w:abstractNumId w:val="11"/>
  </w:num>
  <w:num w:numId="11">
    <w:abstractNumId w:val="5"/>
  </w:num>
  <w:num w:numId="12">
    <w:abstractNumId w:val="17"/>
  </w:num>
  <w:num w:numId="13">
    <w:abstractNumId w:val="1"/>
  </w:num>
  <w:num w:numId="14">
    <w:abstractNumId w:val="13"/>
  </w:num>
  <w:num w:numId="15">
    <w:abstractNumId w:val="2"/>
  </w:num>
  <w:num w:numId="16">
    <w:abstractNumId w:val="8"/>
  </w:num>
  <w:num w:numId="17">
    <w:abstractNumId w:val="7"/>
  </w:num>
  <w:num w:numId="18">
    <w:abstractNumId w:val="3"/>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705"/>
    <w:rsid w:val="00023BD2"/>
    <w:rsid w:val="000367FE"/>
    <w:rsid w:val="00037002"/>
    <w:rsid w:val="0005466F"/>
    <w:rsid w:val="00054EA7"/>
    <w:rsid w:val="00082798"/>
    <w:rsid w:val="00084BB3"/>
    <w:rsid w:val="0008563F"/>
    <w:rsid w:val="00085956"/>
    <w:rsid w:val="00092805"/>
    <w:rsid w:val="00092A23"/>
    <w:rsid w:val="0009790C"/>
    <w:rsid w:val="000A555C"/>
    <w:rsid w:val="000E3705"/>
    <w:rsid w:val="000E54C9"/>
    <w:rsid w:val="000F56F8"/>
    <w:rsid w:val="000F67DF"/>
    <w:rsid w:val="00104E64"/>
    <w:rsid w:val="00110A11"/>
    <w:rsid w:val="00114F0E"/>
    <w:rsid w:val="00126E51"/>
    <w:rsid w:val="001311EB"/>
    <w:rsid w:val="001447A1"/>
    <w:rsid w:val="001631F3"/>
    <w:rsid w:val="001648DE"/>
    <w:rsid w:val="001655B7"/>
    <w:rsid w:val="00171465"/>
    <w:rsid w:val="001719CF"/>
    <w:rsid w:val="00171E09"/>
    <w:rsid w:val="001760CD"/>
    <w:rsid w:val="001915A0"/>
    <w:rsid w:val="001A23F3"/>
    <w:rsid w:val="001A45CF"/>
    <w:rsid w:val="001A4A75"/>
    <w:rsid w:val="001B2C00"/>
    <w:rsid w:val="001B77A1"/>
    <w:rsid w:val="001C1F89"/>
    <w:rsid w:val="001D0427"/>
    <w:rsid w:val="001D6525"/>
    <w:rsid w:val="001E4517"/>
    <w:rsid w:val="001F5279"/>
    <w:rsid w:val="00213DCF"/>
    <w:rsid w:val="002374A8"/>
    <w:rsid w:val="00241ED2"/>
    <w:rsid w:val="0024457E"/>
    <w:rsid w:val="0024538A"/>
    <w:rsid w:val="002534A3"/>
    <w:rsid w:val="00261287"/>
    <w:rsid w:val="0027631E"/>
    <w:rsid w:val="00276A8E"/>
    <w:rsid w:val="002812A2"/>
    <w:rsid w:val="00285E17"/>
    <w:rsid w:val="002874D6"/>
    <w:rsid w:val="0029047F"/>
    <w:rsid w:val="002A2675"/>
    <w:rsid w:val="002A3452"/>
    <w:rsid w:val="002B487F"/>
    <w:rsid w:val="002B4BB9"/>
    <w:rsid w:val="002D1233"/>
    <w:rsid w:val="002D532E"/>
    <w:rsid w:val="002D5611"/>
    <w:rsid w:val="00301395"/>
    <w:rsid w:val="003023D5"/>
    <w:rsid w:val="00303093"/>
    <w:rsid w:val="003032AF"/>
    <w:rsid w:val="00315EB8"/>
    <w:rsid w:val="003164EF"/>
    <w:rsid w:val="00325EB6"/>
    <w:rsid w:val="00330EAE"/>
    <w:rsid w:val="0034456E"/>
    <w:rsid w:val="0034644A"/>
    <w:rsid w:val="0034690C"/>
    <w:rsid w:val="00364C63"/>
    <w:rsid w:val="00373294"/>
    <w:rsid w:val="00374AC3"/>
    <w:rsid w:val="003812AC"/>
    <w:rsid w:val="00387716"/>
    <w:rsid w:val="00396AE7"/>
    <w:rsid w:val="003A06A5"/>
    <w:rsid w:val="003A477E"/>
    <w:rsid w:val="003C4936"/>
    <w:rsid w:val="003E72B6"/>
    <w:rsid w:val="003F0E37"/>
    <w:rsid w:val="0040074E"/>
    <w:rsid w:val="00402C5B"/>
    <w:rsid w:val="00411750"/>
    <w:rsid w:val="00413F76"/>
    <w:rsid w:val="00414D39"/>
    <w:rsid w:val="00425125"/>
    <w:rsid w:val="00430C73"/>
    <w:rsid w:val="00445E01"/>
    <w:rsid w:val="004472F9"/>
    <w:rsid w:val="00466796"/>
    <w:rsid w:val="00481F90"/>
    <w:rsid w:val="00484FA0"/>
    <w:rsid w:val="00487D3A"/>
    <w:rsid w:val="00491DE6"/>
    <w:rsid w:val="00496290"/>
    <w:rsid w:val="004A340B"/>
    <w:rsid w:val="004A74A4"/>
    <w:rsid w:val="004B483A"/>
    <w:rsid w:val="004B5D83"/>
    <w:rsid w:val="004C118F"/>
    <w:rsid w:val="004C3F84"/>
    <w:rsid w:val="004C4150"/>
    <w:rsid w:val="004C6672"/>
    <w:rsid w:val="004D47E2"/>
    <w:rsid w:val="004E3A80"/>
    <w:rsid w:val="004E70A4"/>
    <w:rsid w:val="004E70AC"/>
    <w:rsid w:val="004E756F"/>
    <w:rsid w:val="004F12E8"/>
    <w:rsid w:val="004F4631"/>
    <w:rsid w:val="004F4753"/>
    <w:rsid w:val="00504736"/>
    <w:rsid w:val="00505180"/>
    <w:rsid w:val="00507D75"/>
    <w:rsid w:val="00511FC0"/>
    <w:rsid w:val="00512D6F"/>
    <w:rsid w:val="005133D5"/>
    <w:rsid w:val="005154E1"/>
    <w:rsid w:val="00522C51"/>
    <w:rsid w:val="00524BB4"/>
    <w:rsid w:val="00526D09"/>
    <w:rsid w:val="00532C1F"/>
    <w:rsid w:val="00551C65"/>
    <w:rsid w:val="0055300F"/>
    <w:rsid w:val="00562BDD"/>
    <w:rsid w:val="00591836"/>
    <w:rsid w:val="005929BC"/>
    <w:rsid w:val="005A0FEE"/>
    <w:rsid w:val="005A5354"/>
    <w:rsid w:val="005A56BA"/>
    <w:rsid w:val="005C1E67"/>
    <w:rsid w:val="005C1EDB"/>
    <w:rsid w:val="005C2DC6"/>
    <w:rsid w:val="005E27B0"/>
    <w:rsid w:val="005E73B0"/>
    <w:rsid w:val="005F41B8"/>
    <w:rsid w:val="005F565E"/>
    <w:rsid w:val="005F5F28"/>
    <w:rsid w:val="005F7C2D"/>
    <w:rsid w:val="00606507"/>
    <w:rsid w:val="0060776F"/>
    <w:rsid w:val="00607AFD"/>
    <w:rsid w:val="00612768"/>
    <w:rsid w:val="0061398E"/>
    <w:rsid w:val="0064020F"/>
    <w:rsid w:val="00657257"/>
    <w:rsid w:val="00662EB4"/>
    <w:rsid w:val="00664E43"/>
    <w:rsid w:val="00666D7C"/>
    <w:rsid w:val="00675D5A"/>
    <w:rsid w:val="006770DD"/>
    <w:rsid w:val="00680358"/>
    <w:rsid w:val="0068112C"/>
    <w:rsid w:val="00687B3F"/>
    <w:rsid w:val="00694352"/>
    <w:rsid w:val="006958E8"/>
    <w:rsid w:val="006A17A6"/>
    <w:rsid w:val="006A2329"/>
    <w:rsid w:val="006A635D"/>
    <w:rsid w:val="006B0AD7"/>
    <w:rsid w:val="006B1272"/>
    <w:rsid w:val="006B20F7"/>
    <w:rsid w:val="006B2638"/>
    <w:rsid w:val="006B7C44"/>
    <w:rsid w:val="006C1D72"/>
    <w:rsid w:val="006C3380"/>
    <w:rsid w:val="006C3982"/>
    <w:rsid w:val="006C4433"/>
    <w:rsid w:val="006C4474"/>
    <w:rsid w:val="006D3F8F"/>
    <w:rsid w:val="006D4CFC"/>
    <w:rsid w:val="006E5662"/>
    <w:rsid w:val="006F4AE0"/>
    <w:rsid w:val="00700F74"/>
    <w:rsid w:val="007073D3"/>
    <w:rsid w:val="00715753"/>
    <w:rsid w:val="007214AD"/>
    <w:rsid w:val="00721B61"/>
    <w:rsid w:val="0072492F"/>
    <w:rsid w:val="00733FE8"/>
    <w:rsid w:val="00743A1F"/>
    <w:rsid w:val="0075029E"/>
    <w:rsid w:val="00755BB4"/>
    <w:rsid w:val="00760313"/>
    <w:rsid w:val="00762171"/>
    <w:rsid w:val="00767E2F"/>
    <w:rsid w:val="00775D97"/>
    <w:rsid w:val="0078023F"/>
    <w:rsid w:val="00787AF8"/>
    <w:rsid w:val="0079338F"/>
    <w:rsid w:val="007C629C"/>
    <w:rsid w:val="007C6982"/>
    <w:rsid w:val="007D23CF"/>
    <w:rsid w:val="007D577F"/>
    <w:rsid w:val="007E4DDA"/>
    <w:rsid w:val="007F24CA"/>
    <w:rsid w:val="00810CE5"/>
    <w:rsid w:val="0082196D"/>
    <w:rsid w:val="0082269E"/>
    <w:rsid w:val="0082773A"/>
    <w:rsid w:val="008317A4"/>
    <w:rsid w:val="00834EB1"/>
    <w:rsid w:val="00836C17"/>
    <w:rsid w:val="008424E1"/>
    <w:rsid w:val="00844A44"/>
    <w:rsid w:val="00851193"/>
    <w:rsid w:val="0085159A"/>
    <w:rsid w:val="0086204E"/>
    <w:rsid w:val="00871623"/>
    <w:rsid w:val="008716FC"/>
    <w:rsid w:val="00872A37"/>
    <w:rsid w:val="00883A71"/>
    <w:rsid w:val="00893414"/>
    <w:rsid w:val="008A38CC"/>
    <w:rsid w:val="008A4551"/>
    <w:rsid w:val="008A4A1C"/>
    <w:rsid w:val="008A63A3"/>
    <w:rsid w:val="008B15DD"/>
    <w:rsid w:val="008B7F64"/>
    <w:rsid w:val="008C21B0"/>
    <w:rsid w:val="008C7BA9"/>
    <w:rsid w:val="008E6730"/>
    <w:rsid w:val="00903F2D"/>
    <w:rsid w:val="00911282"/>
    <w:rsid w:val="0092623C"/>
    <w:rsid w:val="009266CC"/>
    <w:rsid w:val="00933BAC"/>
    <w:rsid w:val="0093525A"/>
    <w:rsid w:val="009476DD"/>
    <w:rsid w:val="00960DBE"/>
    <w:rsid w:val="0097390D"/>
    <w:rsid w:val="0097774B"/>
    <w:rsid w:val="00981E26"/>
    <w:rsid w:val="00981EF2"/>
    <w:rsid w:val="00985ECA"/>
    <w:rsid w:val="00992A04"/>
    <w:rsid w:val="00995924"/>
    <w:rsid w:val="009A0426"/>
    <w:rsid w:val="009C0906"/>
    <w:rsid w:val="009C0BF0"/>
    <w:rsid w:val="009C5424"/>
    <w:rsid w:val="009D3C4C"/>
    <w:rsid w:val="009F62FB"/>
    <w:rsid w:val="00A00D26"/>
    <w:rsid w:val="00A06A46"/>
    <w:rsid w:val="00A16D4D"/>
    <w:rsid w:val="00A20AD8"/>
    <w:rsid w:val="00A262BD"/>
    <w:rsid w:val="00A272F6"/>
    <w:rsid w:val="00A367BA"/>
    <w:rsid w:val="00A37CFA"/>
    <w:rsid w:val="00A60AC3"/>
    <w:rsid w:val="00A60C68"/>
    <w:rsid w:val="00A67915"/>
    <w:rsid w:val="00A85158"/>
    <w:rsid w:val="00A8596E"/>
    <w:rsid w:val="00A92B56"/>
    <w:rsid w:val="00A97BC1"/>
    <w:rsid w:val="00AB4012"/>
    <w:rsid w:val="00AB4DB8"/>
    <w:rsid w:val="00AC17E6"/>
    <w:rsid w:val="00AE454A"/>
    <w:rsid w:val="00AE55EF"/>
    <w:rsid w:val="00AE6DBC"/>
    <w:rsid w:val="00AE764C"/>
    <w:rsid w:val="00B13AC4"/>
    <w:rsid w:val="00B13F67"/>
    <w:rsid w:val="00B154A7"/>
    <w:rsid w:val="00B233CF"/>
    <w:rsid w:val="00B25ADC"/>
    <w:rsid w:val="00B57C30"/>
    <w:rsid w:val="00B60758"/>
    <w:rsid w:val="00B66654"/>
    <w:rsid w:val="00B76447"/>
    <w:rsid w:val="00B7755F"/>
    <w:rsid w:val="00B81ACE"/>
    <w:rsid w:val="00BA4021"/>
    <w:rsid w:val="00BB09AA"/>
    <w:rsid w:val="00BB15C9"/>
    <w:rsid w:val="00BB3C01"/>
    <w:rsid w:val="00BB545F"/>
    <w:rsid w:val="00BC102B"/>
    <w:rsid w:val="00BD5663"/>
    <w:rsid w:val="00BE12DE"/>
    <w:rsid w:val="00BE1685"/>
    <w:rsid w:val="00BE2BF6"/>
    <w:rsid w:val="00BE4E88"/>
    <w:rsid w:val="00BE4F9C"/>
    <w:rsid w:val="00BF288D"/>
    <w:rsid w:val="00BF7AE2"/>
    <w:rsid w:val="00C1190C"/>
    <w:rsid w:val="00C31E89"/>
    <w:rsid w:val="00C34A79"/>
    <w:rsid w:val="00C40226"/>
    <w:rsid w:val="00C4727A"/>
    <w:rsid w:val="00C527E9"/>
    <w:rsid w:val="00C5286C"/>
    <w:rsid w:val="00C64463"/>
    <w:rsid w:val="00C6605A"/>
    <w:rsid w:val="00C72862"/>
    <w:rsid w:val="00C72A57"/>
    <w:rsid w:val="00C82324"/>
    <w:rsid w:val="00C85507"/>
    <w:rsid w:val="00C86E65"/>
    <w:rsid w:val="00CA0650"/>
    <w:rsid w:val="00CB2256"/>
    <w:rsid w:val="00CB25DC"/>
    <w:rsid w:val="00CC1019"/>
    <w:rsid w:val="00CD2A5E"/>
    <w:rsid w:val="00D05B0C"/>
    <w:rsid w:val="00D16B69"/>
    <w:rsid w:val="00D22880"/>
    <w:rsid w:val="00D246C3"/>
    <w:rsid w:val="00D451E4"/>
    <w:rsid w:val="00D47508"/>
    <w:rsid w:val="00D50830"/>
    <w:rsid w:val="00D53460"/>
    <w:rsid w:val="00D579F0"/>
    <w:rsid w:val="00D7657A"/>
    <w:rsid w:val="00D9408E"/>
    <w:rsid w:val="00D97356"/>
    <w:rsid w:val="00DA6BB6"/>
    <w:rsid w:val="00DB3248"/>
    <w:rsid w:val="00DB4C4F"/>
    <w:rsid w:val="00DD2BB3"/>
    <w:rsid w:val="00DD4F72"/>
    <w:rsid w:val="00DE4E95"/>
    <w:rsid w:val="00DF2406"/>
    <w:rsid w:val="00DF492C"/>
    <w:rsid w:val="00E00C9D"/>
    <w:rsid w:val="00E079B9"/>
    <w:rsid w:val="00E150EE"/>
    <w:rsid w:val="00E20F0C"/>
    <w:rsid w:val="00E2199C"/>
    <w:rsid w:val="00E325D1"/>
    <w:rsid w:val="00E352EE"/>
    <w:rsid w:val="00E36BDF"/>
    <w:rsid w:val="00E4258F"/>
    <w:rsid w:val="00E44356"/>
    <w:rsid w:val="00E50014"/>
    <w:rsid w:val="00E5135F"/>
    <w:rsid w:val="00E55A21"/>
    <w:rsid w:val="00E63D45"/>
    <w:rsid w:val="00E65405"/>
    <w:rsid w:val="00E74946"/>
    <w:rsid w:val="00E76A9D"/>
    <w:rsid w:val="00E76AB9"/>
    <w:rsid w:val="00E85FFC"/>
    <w:rsid w:val="00E92204"/>
    <w:rsid w:val="00E93750"/>
    <w:rsid w:val="00EA086F"/>
    <w:rsid w:val="00EB72C3"/>
    <w:rsid w:val="00EE0C11"/>
    <w:rsid w:val="00EE609F"/>
    <w:rsid w:val="00EE67A0"/>
    <w:rsid w:val="00F030D5"/>
    <w:rsid w:val="00F0344F"/>
    <w:rsid w:val="00F1153F"/>
    <w:rsid w:val="00F11F7A"/>
    <w:rsid w:val="00F15954"/>
    <w:rsid w:val="00F15BED"/>
    <w:rsid w:val="00F16ACA"/>
    <w:rsid w:val="00F177C6"/>
    <w:rsid w:val="00F23692"/>
    <w:rsid w:val="00F24594"/>
    <w:rsid w:val="00F251F7"/>
    <w:rsid w:val="00F30358"/>
    <w:rsid w:val="00F32DBE"/>
    <w:rsid w:val="00F3511B"/>
    <w:rsid w:val="00F35A06"/>
    <w:rsid w:val="00F45F63"/>
    <w:rsid w:val="00F66F16"/>
    <w:rsid w:val="00F7499B"/>
    <w:rsid w:val="00F83BAC"/>
    <w:rsid w:val="00F862DA"/>
    <w:rsid w:val="00F86AB3"/>
    <w:rsid w:val="00F91B2B"/>
    <w:rsid w:val="00F928DA"/>
    <w:rsid w:val="00F92DD3"/>
    <w:rsid w:val="00FB5894"/>
    <w:rsid w:val="00FC0B00"/>
    <w:rsid w:val="00FC1349"/>
    <w:rsid w:val="00FD0E4F"/>
    <w:rsid w:val="00FE757E"/>
    <w:rsid w:val="00FE7FA3"/>
    <w:rsid w:val="00FF024E"/>
    <w:rsid w:val="00FF3EA2"/>
    <w:rsid w:val="070A4DFD"/>
    <w:rsid w:val="0DDB1AD7"/>
    <w:rsid w:val="0E7A00B0"/>
    <w:rsid w:val="0F69665A"/>
    <w:rsid w:val="125E7C88"/>
    <w:rsid w:val="1F002023"/>
    <w:rsid w:val="20EB4F07"/>
    <w:rsid w:val="24251AE5"/>
    <w:rsid w:val="29084FF6"/>
    <w:rsid w:val="32145DB2"/>
    <w:rsid w:val="35464653"/>
    <w:rsid w:val="361C38D8"/>
    <w:rsid w:val="3A7436B2"/>
    <w:rsid w:val="3D15407F"/>
    <w:rsid w:val="3F480987"/>
    <w:rsid w:val="42370588"/>
    <w:rsid w:val="55AB2A03"/>
    <w:rsid w:val="560E37E0"/>
    <w:rsid w:val="74B80042"/>
    <w:rsid w:val="75193D56"/>
    <w:rsid w:val="782E6695"/>
    <w:rsid w:val="785E0128"/>
    <w:rsid w:val="7EFE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3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073D3"/>
    <w:pPr>
      <w:jc w:val="left"/>
    </w:pPr>
  </w:style>
  <w:style w:type="paragraph" w:styleId="a4">
    <w:name w:val="Balloon Text"/>
    <w:basedOn w:val="a"/>
    <w:link w:val="Char"/>
    <w:uiPriority w:val="99"/>
    <w:semiHidden/>
    <w:unhideWhenUsed/>
    <w:qFormat/>
    <w:rsid w:val="007073D3"/>
    <w:rPr>
      <w:sz w:val="18"/>
      <w:szCs w:val="18"/>
    </w:rPr>
  </w:style>
  <w:style w:type="paragraph" w:styleId="a5">
    <w:name w:val="footer"/>
    <w:basedOn w:val="a"/>
    <w:link w:val="Char0"/>
    <w:uiPriority w:val="99"/>
    <w:unhideWhenUsed/>
    <w:qFormat/>
    <w:rsid w:val="007073D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7073D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707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073D3"/>
    <w:pPr>
      <w:ind w:firstLineChars="200" w:firstLine="420"/>
    </w:pPr>
  </w:style>
  <w:style w:type="character" w:customStyle="1" w:styleId="Char">
    <w:name w:val="批注框文本 Char"/>
    <w:basedOn w:val="a0"/>
    <w:link w:val="a4"/>
    <w:uiPriority w:val="99"/>
    <w:semiHidden/>
    <w:qFormat/>
    <w:rsid w:val="007073D3"/>
    <w:rPr>
      <w:sz w:val="18"/>
      <w:szCs w:val="18"/>
    </w:rPr>
  </w:style>
  <w:style w:type="character" w:customStyle="1" w:styleId="Char1">
    <w:name w:val="页眉 Char"/>
    <w:basedOn w:val="a0"/>
    <w:link w:val="a6"/>
    <w:uiPriority w:val="99"/>
    <w:qFormat/>
    <w:rsid w:val="007073D3"/>
    <w:rPr>
      <w:sz w:val="18"/>
      <w:szCs w:val="18"/>
    </w:rPr>
  </w:style>
  <w:style w:type="character" w:customStyle="1" w:styleId="Char0">
    <w:name w:val="页脚 Char"/>
    <w:basedOn w:val="a0"/>
    <w:link w:val="a5"/>
    <w:uiPriority w:val="99"/>
    <w:qFormat/>
    <w:rsid w:val="007073D3"/>
    <w:rPr>
      <w:sz w:val="18"/>
      <w:szCs w:val="18"/>
    </w:rPr>
  </w:style>
  <w:style w:type="table" w:customStyle="1" w:styleId="5-61">
    <w:name w:val="网格表 5 深色 - 着色 61"/>
    <w:basedOn w:val="a1"/>
    <w:uiPriority w:val="50"/>
    <w:qFormat/>
    <w:rsid w:val="007073D3"/>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38"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7BFEA-EC05-40B2-9AF2-915FFE30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dc:creator>
  <cp:lastModifiedBy>lenovo1</cp:lastModifiedBy>
  <cp:revision>2</cp:revision>
  <cp:lastPrinted>2020-04-15T06:34:00Z</cp:lastPrinted>
  <dcterms:created xsi:type="dcterms:W3CDTF">2020-05-09T00:51:00Z</dcterms:created>
  <dcterms:modified xsi:type="dcterms:W3CDTF">2020-05-09T00:51:00Z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