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7B844" w14:textId="07770B6C" w:rsidR="00775C0C" w:rsidRDefault="00CC7BF0">
      <w:pPr>
        <w:spacing w:line="240" w:lineRule="auto"/>
        <w:jc w:val="center"/>
        <w:rPr>
          <w:rFonts w:ascii="Times New Roman" w:eastAsia="方正小标宋简体" w:hAnsi="Times New Roman" w:cs="Times New Roman"/>
          <w:sz w:val="44"/>
          <w:szCs w:val="44"/>
        </w:rPr>
      </w:pPr>
      <w:bookmarkStart w:id="0" w:name="_GoBack"/>
      <w:bookmarkEnd w:id="0"/>
      <w:r>
        <w:rPr>
          <w:rFonts w:ascii="Times New Roman" w:eastAsia="方正小标宋简体" w:hAnsi="Times New Roman" w:cs="Times New Roman" w:hint="eastAsia"/>
          <w:sz w:val="44"/>
          <w:szCs w:val="44"/>
        </w:rPr>
        <w:t>高等</w:t>
      </w:r>
      <w:r w:rsidR="00437C38">
        <w:rPr>
          <w:rFonts w:ascii="Times New Roman" w:eastAsia="方正小标宋简体" w:hAnsi="Times New Roman" w:cs="Times New Roman"/>
          <w:sz w:val="44"/>
          <w:szCs w:val="44"/>
        </w:rPr>
        <w:t>职业学校办学条件</w:t>
      </w:r>
      <w:r w:rsidR="00437C38">
        <w:rPr>
          <w:rFonts w:ascii="Times New Roman" w:eastAsia="方正小标宋简体" w:hAnsi="Times New Roman" w:cs="Times New Roman" w:hint="eastAsia"/>
          <w:sz w:val="44"/>
          <w:szCs w:val="44"/>
        </w:rPr>
        <w:t>重点</w:t>
      </w:r>
      <w:r w:rsidR="00437C38">
        <w:rPr>
          <w:rFonts w:ascii="Times New Roman" w:eastAsia="方正小标宋简体" w:hAnsi="Times New Roman" w:cs="Times New Roman"/>
          <w:sz w:val="44"/>
          <w:szCs w:val="44"/>
        </w:rPr>
        <w:t>监测指标</w:t>
      </w:r>
    </w:p>
    <w:p w14:paraId="0C34E9D0" w14:textId="77777777" w:rsidR="00775C0C" w:rsidRDefault="00775C0C">
      <w:pPr>
        <w:spacing w:line="240" w:lineRule="auto"/>
        <w:ind w:firstLine="720"/>
        <w:rPr>
          <w:rFonts w:ascii="Times New Roman" w:eastAsia="黑体" w:hAnsi="Times New Roman" w:cs="Times New Roman"/>
          <w:sz w:val="36"/>
          <w:szCs w:val="28"/>
        </w:rPr>
      </w:pPr>
    </w:p>
    <w:p w14:paraId="3633F504" w14:textId="77777777" w:rsidR="00775C0C" w:rsidRDefault="00437C38">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达标学校范围</w:t>
      </w:r>
      <w:r>
        <w:rPr>
          <w:rFonts w:ascii="Times New Roman" w:hAnsi="Times New Roman" w:cs="Times New Roman" w:hint="eastAsia"/>
          <w:color w:val="000000"/>
          <w:kern w:val="0"/>
          <w:szCs w:val="32"/>
          <w:lang w:bidi="ar"/>
        </w:rPr>
        <w:t>包括教育部门审批并备案的高职（专科）学校</w:t>
      </w:r>
      <w:r>
        <w:rPr>
          <w:rFonts w:ascii="Times New Roman" w:hAnsi="Times New Roman" w:cs="Times New Roman"/>
          <w:color w:val="000000"/>
          <w:kern w:val="0"/>
          <w:szCs w:val="32"/>
          <w:lang w:bidi="ar"/>
        </w:rPr>
        <w:t>，不包括</w:t>
      </w:r>
      <w:r>
        <w:rPr>
          <w:rFonts w:ascii="Times New Roman" w:hAnsi="Times New Roman" w:cs="Times New Roman" w:hint="eastAsia"/>
          <w:color w:val="000000"/>
          <w:kern w:val="0"/>
          <w:szCs w:val="32"/>
          <w:lang w:bidi="ar"/>
        </w:rPr>
        <w:t>职业本科学校和</w:t>
      </w:r>
      <w:r>
        <w:rPr>
          <w:rFonts w:ascii="Times New Roman" w:hAnsi="Times New Roman" w:cs="Times New Roman"/>
          <w:color w:val="000000"/>
          <w:kern w:val="0"/>
          <w:szCs w:val="32"/>
          <w:lang w:bidi="ar"/>
        </w:rPr>
        <w:t>2022</w:t>
      </w:r>
      <w:r>
        <w:rPr>
          <w:rFonts w:ascii="Times New Roman" w:hAnsi="Times New Roman" w:cs="Times New Roman"/>
          <w:color w:val="000000"/>
          <w:kern w:val="0"/>
          <w:szCs w:val="32"/>
          <w:lang w:bidi="ar"/>
        </w:rPr>
        <w:t>年（含）以后新设</w:t>
      </w:r>
      <w:r>
        <w:rPr>
          <w:rFonts w:ascii="Times New Roman" w:hAnsi="Times New Roman" w:cs="Times New Roman" w:hint="eastAsia"/>
          <w:color w:val="000000"/>
          <w:kern w:val="0"/>
          <w:szCs w:val="32"/>
          <w:lang w:bidi="ar"/>
        </w:rPr>
        <w:t>的高职（专科）</w:t>
      </w:r>
      <w:r>
        <w:rPr>
          <w:rFonts w:ascii="Times New Roman" w:hAnsi="Times New Roman" w:cs="Times New Roman"/>
          <w:color w:val="000000"/>
          <w:kern w:val="0"/>
          <w:szCs w:val="32"/>
          <w:lang w:bidi="ar"/>
        </w:rPr>
        <w:t>学校。</w:t>
      </w:r>
      <w:r>
        <w:rPr>
          <w:rFonts w:ascii="Times New Roman" w:hAnsi="Times New Roman" w:cs="Times New Roman" w:hint="eastAsia"/>
          <w:color w:val="000000"/>
          <w:kern w:val="0"/>
          <w:szCs w:val="32"/>
          <w:lang w:bidi="ar"/>
        </w:rPr>
        <w:t>参照</w:t>
      </w:r>
      <w:r>
        <w:rPr>
          <w:rFonts w:ascii="Times New Roman" w:hAnsi="Times New Roman" w:cs="Times New Roman"/>
          <w:color w:val="000000"/>
          <w:kern w:val="0"/>
          <w:szCs w:val="32"/>
          <w:lang w:bidi="ar"/>
        </w:rPr>
        <w:t>《</w:t>
      </w:r>
      <w:r>
        <w:rPr>
          <w:rFonts w:ascii="Times New Roman" w:hAnsi="Times New Roman" w:cs="Times New Roman" w:hint="eastAsia"/>
          <w:color w:val="000000"/>
          <w:kern w:val="0"/>
          <w:szCs w:val="32"/>
          <w:lang w:bidi="ar"/>
        </w:rPr>
        <w:t>教育部关于印发〈普通高等学校基本办学条件指标（试行）〉的通知</w:t>
      </w:r>
      <w:r>
        <w:rPr>
          <w:rFonts w:ascii="Times New Roman" w:hAnsi="Times New Roman" w:cs="Times New Roman"/>
          <w:color w:val="000000"/>
          <w:kern w:val="0"/>
          <w:szCs w:val="32"/>
          <w:lang w:bidi="ar"/>
        </w:rPr>
        <w:t>》（教发〔</w:t>
      </w:r>
      <w:r>
        <w:rPr>
          <w:rFonts w:ascii="Times New Roman" w:hAnsi="Times New Roman" w:cs="Times New Roman"/>
          <w:color w:val="000000"/>
          <w:kern w:val="0"/>
          <w:szCs w:val="32"/>
          <w:lang w:bidi="ar"/>
        </w:rPr>
        <w:t>2004</w:t>
      </w:r>
      <w:r>
        <w:rPr>
          <w:rFonts w:ascii="Times New Roman" w:hAnsi="Times New Roman" w:cs="Times New Roman"/>
          <w:color w:val="000000"/>
          <w:kern w:val="0"/>
          <w:szCs w:val="32"/>
          <w:lang w:bidi="ar"/>
        </w:rPr>
        <w:t>〕</w:t>
      </w:r>
      <w:r>
        <w:rPr>
          <w:rFonts w:ascii="Times New Roman" w:hAnsi="Times New Roman" w:cs="Times New Roman"/>
          <w:color w:val="000000"/>
          <w:kern w:val="0"/>
          <w:szCs w:val="32"/>
          <w:lang w:bidi="ar"/>
        </w:rPr>
        <w:t xml:space="preserve">2 </w:t>
      </w:r>
      <w:r>
        <w:rPr>
          <w:rFonts w:ascii="Times New Roman" w:hAnsi="Times New Roman" w:cs="Times New Roman"/>
          <w:color w:val="000000"/>
          <w:kern w:val="0"/>
          <w:szCs w:val="32"/>
          <w:lang w:bidi="ar"/>
        </w:rPr>
        <w:t>号）</w:t>
      </w:r>
      <w:r>
        <w:rPr>
          <w:rFonts w:ascii="Times New Roman" w:hAnsi="Times New Roman" w:cs="Times New Roman" w:hint="eastAsia"/>
          <w:color w:val="000000"/>
          <w:kern w:val="0"/>
          <w:szCs w:val="32"/>
          <w:lang w:bidi="ar"/>
        </w:rPr>
        <w:t>规定中的学校分类和合格标准，并根据教育事业发展优化部分指标释义</w:t>
      </w:r>
      <w:r>
        <w:rPr>
          <w:rFonts w:ascii="Times New Roman" w:hAnsi="Times New Roman" w:cs="Times New Roman"/>
          <w:color w:val="000000"/>
          <w:kern w:val="0"/>
          <w:szCs w:val="32"/>
          <w:lang w:bidi="ar"/>
        </w:rPr>
        <w:t>。</w:t>
      </w:r>
    </w:p>
    <w:p w14:paraId="7CFDE827" w14:textId="77777777" w:rsidR="00CC7BF0" w:rsidRDefault="00CC7BF0">
      <w:pPr>
        <w:spacing w:line="240" w:lineRule="auto"/>
        <w:ind w:firstLine="640"/>
        <w:rPr>
          <w:rFonts w:ascii="Times New Roman" w:hAnsi="Times New Roman" w:cs="Times New Roman"/>
          <w:color w:val="000000"/>
          <w:kern w:val="0"/>
          <w:szCs w:val="32"/>
          <w:lang w:bidi="ar"/>
        </w:rPr>
      </w:pPr>
    </w:p>
    <w:p w14:paraId="024B5BA5" w14:textId="693FB55E" w:rsidR="00775C0C" w:rsidRDefault="00437C38">
      <w:pPr>
        <w:spacing w:line="240" w:lineRule="auto"/>
        <w:ind w:firstLineChars="0" w:firstLine="0"/>
        <w:jc w:val="center"/>
        <w:rPr>
          <w:rFonts w:ascii="Times New Roman" w:hAnsi="Times New Roman" w:cs="Times New Roman"/>
          <w:color w:val="000000"/>
          <w:kern w:val="0"/>
          <w:szCs w:val="32"/>
          <w:lang w:bidi="ar"/>
        </w:rPr>
      </w:pPr>
      <w:r>
        <w:rPr>
          <w:rFonts w:ascii="黑体" w:eastAsia="黑体" w:hAnsi="黑体" w:cs="黑体" w:hint="eastAsia"/>
          <w:color w:val="000000"/>
          <w:kern w:val="0"/>
          <w:szCs w:val="32"/>
          <w:lang w:bidi="ar"/>
        </w:rPr>
        <w:t>表</w:t>
      </w:r>
      <w:r w:rsidR="00CC7BF0">
        <w:rPr>
          <w:rFonts w:ascii="黑体" w:eastAsia="黑体" w:hAnsi="黑体" w:cs="黑体" w:hint="eastAsia"/>
          <w:color w:val="000000"/>
          <w:kern w:val="0"/>
          <w:szCs w:val="32"/>
          <w:lang w:bidi="ar"/>
        </w:rPr>
        <w:t>1</w:t>
      </w:r>
      <w:r>
        <w:rPr>
          <w:rFonts w:ascii="黑体" w:eastAsia="黑体" w:hAnsi="黑体" w:cs="黑体" w:hint="eastAsia"/>
          <w:color w:val="000000"/>
          <w:kern w:val="0"/>
          <w:szCs w:val="32"/>
          <w:lang w:bidi="ar"/>
        </w:rPr>
        <w:t>：高等职业学校办学条件重点监测指标</w:t>
      </w:r>
    </w:p>
    <w:tbl>
      <w:tblPr>
        <w:tblStyle w:val="ad"/>
        <w:tblW w:w="8505" w:type="dxa"/>
        <w:tblLayout w:type="fixed"/>
        <w:tblLook w:val="04A0" w:firstRow="1" w:lastRow="0" w:firstColumn="1" w:lastColumn="0" w:noHBand="0" w:noVBand="1"/>
      </w:tblPr>
      <w:tblGrid>
        <w:gridCol w:w="1808"/>
        <w:gridCol w:w="937"/>
        <w:gridCol w:w="1468"/>
        <w:gridCol w:w="1708"/>
        <w:gridCol w:w="1407"/>
        <w:gridCol w:w="1177"/>
      </w:tblGrid>
      <w:tr w:rsidR="00775C0C" w14:paraId="5BB1C9C5" w14:textId="77777777">
        <w:tc>
          <w:tcPr>
            <w:tcW w:w="1062" w:type="pct"/>
            <w:vAlign w:val="center"/>
          </w:tcPr>
          <w:p w14:paraId="20078BDB" w14:textId="77777777" w:rsidR="00775C0C" w:rsidRDefault="00437C38">
            <w:pPr>
              <w:widowControl/>
              <w:spacing w:line="240" w:lineRule="auto"/>
              <w:ind w:firstLineChars="0" w:firstLine="0"/>
              <w:jc w:val="center"/>
              <w:textAlignment w:val="center"/>
              <w:rPr>
                <w:rFonts w:ascii="黑体" w:eastAsia="黑体" w:hAnsi="黑体" w:cs="黑体"/>
                <w:color w:val="000000"/>
                <w:kern w:val="0"/>
                <w:sz w:val="21"/>
                <w:szCs w:val="21"/>
                <w:lang w:bidi="ar"/>
              </w:rPr>
            </w:pPr>
            <w:r>
              <w:rPr>
                <w:rFonts w:ascii="黑体" w:eastAsia="黑体" w:hAnsi="黑体" w:cs="黑体" w:hint="eastAsia"/>
                <w:color w:val="000000"/>
                <w:kern w:val="0"/>
                <w:sz w:val="21"/>
                <w:szCs w:val="21"/>
                <w:lang w:bidi="ar"/>
              </w:rPr>
              <w:t>学校类别</w:t>
            </w:r>
          </w:p>
        </w:tc>
        <w:tc>
          <w:tcPr>
            <w:tcW w:w="551" w:type="pct"/>
            <w:vAlign w:val="center"/>
          </w:tcPr>
          <w:p w14:paraId="5C8D0BE7" w14:textId="77777777" w:rsidR="00775C0C" w:rsidRDefault="00437C38">
            <w:pPr>
              <w:widowControl/>
              <w:spacing w:line="240" w:lineRule="auto"/>
              <w:ind w:firstLineChars="0" w:firstLine="0"/>
              <w:jc w:val="center"/>
              <w:textAlignment w:val="center"/>
              <w:rPr>
                <w:rFonts w:ascii="黑体" w:eastAsia="黑体" w:hAnsi="黑体" w:cs="黑体"/>
                <w:color w:val="000000"/>
                <w:kern w:val="0"/>
                <w:sz w:val="21"/>
                <w:szCs w:val="21"/>
                <w:lang w:bidi="ar"/>
              </w:rPr>
            </w:pPr>
            <w:r>
              <w:rPr>
                <w:rFonts w:ascii="黑体" w:eastAsia="黑体" w:hAnsi="黑体" w:cs="黑体" w:hint="eastAsia"/>
                <w:color w:val="000000"/>
                <w:kern w:val="0"/>
                <w:sz w:val="21"/>
                <w:szCs w:val="21"/>
                <w:lang w:bidi="ar"/>
              </w:rPr>
              <w:t>生师比</w:t>
            </w:r>
          </w:p>
        </w:tc>
        <w:tc>
          <w:tcPr>
            <w:tcW w:w="862" w:type="pct"/>
            <w:vAlign w:val="center"/>
          </w:tcPr>
          <w:p w14:paraId="2A0E885E" w14:textId="77777777" w:rsidR="00775C0C" w:rsidRDefault="00437C38">
            <w:pPr>
              <w:widowControl/>
              <w:spacing w:line="240" w:lineRule="auto"/>
              <w:ind w:firstLineChars="0" w:firstLine="0"/>
              <w:jc w:val="center"/>
              <w:textAlignment w:val="center"/>
              <w:rPr>
                <w:rFonts w:ascii="黑体" w:eastAsia="黑体" w:hAnsi="黑体" w:cs="黑体"/>
                <w:color w:val="000000"/>
                <w:kern w:val="0"/>
                <w:sz w:val="21"/>
                <w:szCs w:val="21"/>
                <w:lang w:bidi="ar"/>
              </w:rPr>
            </w:pPr>
            <w:r>
              <w:rPr>
                <w:rFonts w:ascii="黑体" w:eastAsia="黑体" w:hAnsi="黑体" w:cs="黑体" w:hint="eastAsia"/>
                <w:color w:val="000000"/>
                <w:kern w:val="0"/>
                <w:sz w:val="21"/>
                <w:szCs w:val="21"/>
                <w:lang w:bidi="ar"/>
              </w:rPr>
              <w:t>具有研究生学位教师占专任教师的比例（%）</w:t>
            </w:r>
          </w:p>
        </w:tc>
        <w:tc>
          <w:tcPr>
            <w:tcW w:w="1003" w:type="pct"/>
            <w:vAlign w:val="center"/>
          </w:tcPr>
          <w:p w14:paraId="0A9243C3" w14:textId="77777777" w:rsidR="00775C0C" w:rsidRDefault="00437C38">
            <w:pPr>
              <w:widowControl/>
              <w:spacing w:line="240" w:lineRule="auto"/>
              <w:ind w:firstLineChars="0" w:firstLine="0"/>
              <w:jc w:val="center"/>
              <w:textAlignment w:val="center"/>
              <w:rPr>
                <w:rFonts w:ascii="黑体" w:eastAsia="黑体" w:hAnsi="黑体" w:cs="黑体"/>
                <w:color w:val="000000"/>
                <w:kern w:val="0"/>
                <w:sz w:val="21"/>
                <w:szCs w:val="21"/>
                <w:lang w:bidi="ar"/>
              </w:rPr>
            </w:pPr>
            <w:r>
              <w:rPr>
                <w:rFonts w:ascii="黑体" w:eastAsia="黑体" w:hAnsi="黑体" w:cs="黑体" w:hint="eastAsia"/>
                <w:color w:val="000000"/>
                <w:kern w:val="0"/>
                <w:sz w:val="21"/>
                <w:szCs w:val="21"/>
                <w:lang w:bidi="ar"/>
              </w:rPr>
              <w:t>生均教学行政用房（平方米/生）</w:t>
            </w:r>
          </w:p>
        </w:tc>
        <w:tc>
          <w:tcPr>
            <w:tcW w:w="827" w:type="pct"/>
            <w:vAlign w:val="center"/>
          </w:tcPr>
          <w:p w14:paraId="283E3980" w14:textId="77777777" w:rsidR="00775C0C" w:rsidRDefault="00437C38">
            <w:pPr>
              <w:widowControl/>
              <w:spacing w:line="240" w:lineRule="auto"/>
              <w:ind w:firstLineChars="0" w:firstLine="0"/>
              <w:jc w:val="center"/>
              <w:textAlignment w:val="center"/>
              <w:rPr>
                <w:rFonts w:ascii="黑体" w:eastAsia="黑体" w:hAnsi="黑体" w:cs="黑体"/>
                <w:color w:val="000000"/>
                <w:kern w:val="0"/>
                <w:sz w:val="21"/>
                <w:szCs w:val="21"/>
                <w:lang w:bidi="ar"/>
              </w:rPr>
            </w:pPr>
            <w:r>
              <w:rPr>
                <w:rFonts w:ascii="黑体" w:eastAsia="黑体" w:hAnsi="黑体" w:cs="黑体" w:hint="eastAsia"/>
                <w:color w:val="000000"/>
                <w:kern w:val="0"/>
                <w:sz w:val="21"/>
                <w:szCs w:val="21"/>
                <w:lang w:bidi="ar"/>
              </w:rPr>
              <w:t>生均教学科研仪器设备值（元/生）</w:t>
            </w:r>
          </w:p>
        </w:tc>
        <w:tc>
          <w:tcPr>
            <w:tcW w:w="692" w:type="pct"/>
            <w:vAlign w:val="center"/>
          </w:tcPr>
          <w:p w14:paraId="7630BD09" w14:textId="77777777" w:rsidR="00775C0C" w:rsidRDefault="00437C38">
            <w:pPr>
              <w:widowControl/>
              <w:spacing w:line="240" w:lineRule="auto"/>
              <w:ind w:firstLineChars="0" w:firstLine="0"/>
              <w:jc w:val="center"/>
              <w:textAlignment w:val="center"/>
              <w:rPr>
                <w:rFonts w:ascii="黑体" w:eastAsia="黑体" w:hAnsi="黑体" w:cs="黑体"/>
                <w:color w:val="000000"/>
                <w:kern w:val="0"/>
                <w:sz w:val="21"/>
                <w:szCs w:val="21"/>
                <w:lang w:bidi="ar"/>
              </w:rPr>
            </w:pPr>
            <w:r>
              <w:rPr>
                <w:rFonts w:ascii="黑体" w:eastAsia="黑体" w:hAnsi="黑体" w:cs="黑体" w:hint="eastAsia"/>
                <w:color w:val="000000"/>
                <w:kern w:val="0"/>
                <w:sz w:val="21"/>
                <w:szCs w:val="21"/>
                <w:lang w:bidi="ar"/>
              </w:rPr>
              <w:t>生均图书</w:t>
            </w:r>
          </w:p>
          <w:p w14:paraId="46D104CB" w14:textId="77777777" w:rsidR="00775C0C" w:rsidRDefault="00437C38">
            <w:pPr>
              <w:widowControl/>
              <w:spacing w:line="240" w:lineRule="auto"/>
              <w:ind w:firstLineChars="0" w:firstLine="0"/>
              <w:jc w:val="center"/>
              <w:textAlignment w:val="center"/>
              <w:rPr>
                <w:rFonts w:ascii="黑体" w:eastAsia="黑体" w:hAnsi="黑体" w:cs="黑体"/>
                <w:color w:val="000000"/>
                <w:kern w:val="0"/>
                <w:sz w:val="21"/>
                <w:szCs w:val="21"/>
                <w:lang w:bidi="ar"/>
              </w:rPr>
            </w:pPr>
            <w:r>
              <w:rPr>
                <w:rFonts w:ascii="黑体" w:eastAsia="黑体" w:hAnsi="黑体" w:cs="黑体" w:hint="eastAsia"/>
                <w:color w:val="000000"/>
                <w:kern w:val="0"/>
                <w:sz w:val="21"/>
                <w:szCs w:val="21"/>
                <w:lang w:bidi="ar"/>
              </w:rPr>
              <w:t>（册/生）</w:t>
            </w:r>
          </w:p>
        </w:tc>
      </w:tr>
      <w:tr w:rsidR="00775C0C" w14:paraId="5E039819" w14:textId="77777777">
        <w:trPr>
          <w:trHeight w:val="680"/>
        </w:trPr>
        <w:tc>
          <w:tcPr>
            <w:tcW w:w="1062" w:type="pct"/>
            <w:vAlign w:val="center"/>
          </w:tcPr>
          <w:p w14:paraId="4E96653B" w14:textId="77777777" w:rsidR="00775C0C" w:rsidRDefault="00437C38">
            <w:pPr>
              <w:spacing w:line="240" w:lineRule="auto"/>
              <w:ind w:firstLineChars="0" w:firstLine="0"/>
              <w:rPr>
                <w:rFonts w:ascii="仿宋_GB2312" w:hAnsi="仿宋_GB2312" w:cs="仿宋_GB2312"/>
                <w:color w:val="000000"/>
                <w:kern w:val="0"/>
                <w:sz w:val="21"/>
                <w:szCs w:val="21"/>
                <w:lang w:bidi="ar"/>
              </w:rPr>
            </w:pPr>
            <w:r>
              <w:rPr>
                <w:rFonts w:ascii="仿宋_GB2312" w:hAnsi="仿宋_GB2312" w:cs="仿宋_GB2312" w:hint="eastAsia"/>
                <w:sz w:val="21"/>
                <w:szCs w:val="21"/>
              </w:rPr>
              <w:t>综合、师范、民族院校</w:t>
            </w:r>
          </w:p>
        </w:tc>
        <w:tc>
          <w:tcPr>
            <w:tcW w:w="551" w:type="pct"/>
            <w:vAlign w:val="center"/>
          </w:tcPr>
          <w:p w14:paraId="7AB65A07" w14:textId="77777777"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18</w:t>
            </w:r>
          </w:p>
        </w:tc>
        <w:tc>
          <w:tcPr>
            <w:tcW w:w="862" w:type="pct"/>
            <w:vAlign w:val="center"/>
          </w:tcPr>
          <w:p w14:paraId="40A8B754" w14:textId="77777777"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15</w:t>
            </w:r>
          </w:p>
        </w:tc>
        <w:tc>
          <w:tcPr>
            <w:tcW w:w="1003" w:type="pct"/>
            <w:vAlign w:val="center"/>
          </w:tcPr>
          <w:p w14:paraId="238DE3DD" w14:textId="77777777"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14</w:t>
            </w:r>
          </w:p>
        </w:tc>
        <w:tc>
          <w:tcPr>
            <w:tcW w:w="827" w:type="pct"/>
            <w:vAlign w:val="center"/>
          </w:tcPr>
          <w:p w14:paraId="156B60AA" w14:textId="77777777"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4000</w:t>
            </w:r>
          </w:p>
        </w:tc>
        <w:tc>
          <w:tcPr>
            <w:tcW w:w="692" w:type="pct"/>
            <w:vAlign w:val="center"/>
          </w:tcPr>
          <w:p w14:paraId="53682942" w14:textId="77777777"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80</w:t>
            </w:r>
          </w:p>
        </w:tc>
      </w:tr>
      <w:tr w:rsidR="00775C0C" w14:paraId="233C4F6B" w14:textId="77777777">
        <w:trPr>
          <w:trHeight w:val="680"/>
        </w:trPr>
        <w:tc>
          <w:tcPr>
            <w:tcW w:w="1062" w:type="pct"/>
            <w:vAlign w:val="center"/>
          </w:tcPr>
          <w:p w14:paraId="4AEEF017" w14:textId="77777777" w:rsidR="00775C0C" w:rsidRDefault="00437C38">
            <w:pPr>
              <w:spacing w:line="240" w:lineRule="auto"/>
              <w:ind w:firstLineChars="0" w:firstLine="0"/>
              <w:rPr>
                <w:rFonts w:ascii="仿宋_GB2312" w:hAnsi="仿宋_GB2312" w:cs="仿宋_GB2312"/>
                <w:color w:val="000000"/>
                <w:kern w:val="0"/>
                <w:sz w:val="21"/>
                <w:szCs w:val="21"/>
                <w:lang w:bidi="ar"/>
              </w:rPr>
            </w:pPr>
            <w:r>
              <w:rPr>
                <w:rFonts w:ascii="仿宋_GB2312" w:hAnsi="仿宋_GB2312" w:cs="仿宋_GB2312" w:hint="eastAsia"/>
                <w:sz w:val="21"/>
                <w:szCs w:val="21"/>
              </w:rPr>
              <w:t>工科、农、林院校</w:t>
            </w:r>
          </w:p>
        </w:tc>
        <w:tc>
          <w:tcPr>
            <w:tcW w:w="551" w:type="pct"/>
            <w:vAlign w:val="center"/>
          </w:tcPr>
          <w:p w14:paraId="4B7D899B" w14:textId="77777777"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18</w:t>
            </w:r>
          </w:p>
        </w:tc>
        <w:tc>
          <w:tcPr>
            <w:tcW w:w="862" w:type="pct"/>
            <w:vAlign w:val="center"/>
          </w:tcPr>
          <w:p w14:paraId="2A14E4B0" w14:textId="77777777"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15</w:t>
            </w:r>
          </w:p>
        </w:tc>
        <w:tc>
          <w:tcPr>
            <w:tcW w:w="1003" w:type="pct"/>
            <w:vAlign w:val="center"/>
          </w:tcPr>
          <w:p w14:paraId="7E96048F" w14:textId="77777777"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16</w:t>
            </w:r>
          </w:p>
        </w:tc>
        <w:tc>
          <w:tcPr>
            <w:tcW w:w="827" w:type="pct"/>
            <w:vAlign w:val="center"/>
          </w:tcPr>
          <w:p w14:paraId="5C39CCDF" w14:textId="77777777"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4000</w:t>
            </w:r>
          </w:p>
        </w:tc>
        <w:tc>
          <w:tcPr>
            <w:tcW w:w="692" w:type="pct"/>
            <w:vAlign w:val="center"/>
          </w:tcPr>
          <w:p w14:paraId="307568A5" w14:textId="77777777"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60</w:t>
            </w:r>
          </w:p>
        </w:tc>
      </w:tr>
      <w:tr w:rsidR="00775C0C" w14:paraId="691BF87F" w14:textId="77777777">
        <w:trPr>
          <w:trHeight w:val="680"/>
        </w:trPr>
        <w:tc>
          <w:tcPr>
            <w:tcW w:w="1062" w:type="pct"/>
            <w:vAlign w:val="center"/>
          </w:tcPr>
          <w:p w14:paraId="5BBF8EAA" w14:textId="77777777" w:rsidR="00775C0C" w:rsidRDefault="00437C38">
            <w:pPr>
              <w:spacing w:line="240" w:lineRule="auto"/>
              <w:ind w:firstLineChars="0" w:firstLine="0"/>
              <w:rPr>
                <w:rFonts w:ascii="仿宋_GB2312" w:hAnsi="仿宋_GB2312" w:cs="仿宋_GB2312"/>
                <w:color w:val="000000"/>
                <w:kern w:val="0"/>
                <w:sz w:val="21"/>
                <w:szCs w:val="21"/>
                <w:lang w:bidi="ar"/>
              </w:rPr>
            </w:pPr>
            <w:r>
              <w:rPr>
                <w:rFonts w:ascii="仿宋_GB2312" w:hAnsi="仿宋_GB2312" w:cs="仿宋_GB2312" w:hint="eastAsia"/>
                <w:sz w:val="21"/>
                <w:szCs w:val="21"/>
              </w:rPr>
              <w:t>医学院校</w:t>
            </w:r>
          </w:p>
        </w:tc>
        <w:tc>
          <w:tcPr>
            <w:tcW w:w="551" w:type="pct"/>
            <w:vAlign w:val="center"/>
          </w:tcPr>
          <w:p w14:paraId="5ED104F2" w14:textId="77777777"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16</w:t>
            </w:r>
          </w:p>
        </w:tc>
        <w:tc>
          <w:tcPr>
            <w:tcW w:w="862" w:type="pct"/>
            <w:vAlign w:val="center"/>
          </w:tcPr>
          <w:p w14:paraId="13B7950E" w14:textId="77777777"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15</w:t>
            </w:r>
          </w:p>
        </w:tc>
        <w:tc>
          <w:tcPr>
            <w:tcW w:w="1003" w:type="pct"/>
            <w:vAlign w:val="center"/>
          </w:tcPr>
          <w:p w14:paraId="04DDE519" w14:textId="77777777"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16</w:t>
            </w:r>
          </w:p>
        </w:tc>
        <w:tc>
          <w:tcPr>
            <w:tcW w:w="827" w:type="pct"/>
            <w:vAlign w:val="center"/>
          </w:tcPr>
          <w:p w14:paraId="4FAAAD99" w14:textId="77777777"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4000</w:t>
            </w:r>
          </w:p>
        </w:tc>
        <w:tc>
          <w:tcPr>
            <w:tcW w:w="692" w:type="pct"/>
            <w:vAlign w:val="center"/>
          </w:tcPr>
          <w:p w14:paraId="61D2A54A" w14:textId="77777777"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60</w:t>
            </w:r>
          </w:p>
        </w:tc>
      </w:tr>
      <w:tr w:rsidR="00775C0C" w14:paraId="3DEC48DA" w14:textId="77777777">
        <w:trPr>
          <w:trHeight w:val="680"/>
        </w:trPr>
        <w:tc>
          <w:tcPr>
            <w:tcW w:w="1062" w:type="pct"/>
            <w:vAlign w:val="center"/>
          </w:tcPr>
          <w:p w14:paraId="71192090" w14:textId="77777777" w:rsidR="00775C0C" w:rsidRDefault="00437C38">
            <w:pPr>
              <w:spacing w:line="240" w:lineRule="auto"/>
              <w:ind w:firstLineChars="0" w:firstLine="0"/>
              <w:rPr>
                <w:rFonts w:ascii="仿宋_GB2312" w:hAnsi="仿宋_GB2312" w:cs="仿宋_GB2312"/>
                <w:color w:val="000000"/>
                <w:kern w:val="0"/>
                <w:sz w:val="21"/>
                <w:szCs w:val="21"/>
                <w:lang w:bidi="ar"/>
              </w:rPr>
            </w:pPr>
            <w:r>
              <w:rPr>
                <w:rFonts w:ascii="仿宋_GB2312" w:hAnsi="仿宋_GB2312" w:cs="仿宋_GB2312" w:hint="eastAsia"/>
                <w:sz w:val="21"/>
                <w:szCs w:val="21"/>
              </w:rPr>
              <w:t>语文、财经、政法院校</w:t>
            </w:r>
          </w:p>
        </w:tc>
        <w:tc>
          <w:tcPr>
            <w:tcW w:w="551" w:type="pct"/>
            <w:vAlign w:val="center"/>
          </w:tcPr>
          <w:p w14:paraId="6C031AE3" w14:textId="77777777"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18</w:t>
            </w:r>
          </w:p>
        </w:tc>
        <w:tc>
          <w:tcPr>
            <w:tcW w:w="862" w:type="pct"/>
            <w:vAlign w:val="center"/>
          </w:tcPr>
          <w:p w14:paraId="4E2B69EE" w14:textId="77777777"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15</w:t>
            </w:r>
          </w:p>
        </w:tc>
        <w:tc>
          <w:tcPr>
            <w:tcW w:w="1003" w:type="pct"/>
            <w:vAlign w:val="center"/>
          </w:tcPr>
          <w:p w14:paraId="728BA5DA" w14:textId="77777777"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9</w:t>
            </w:r>
          </w:p>
        </w:tc>
        <w:tc>
          <w:tcPr>
            <w:tcW w:w="827" w:type="pct"/>
            <w:vAlign w:val="center"/>
          </w:tcPr>
          <w:p w14:paraId="72668697" w14:textId="77777777"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3000</w:t>
            </w:r>
          </w:p>
        </w:tc>
        <w:tc>
          <w:tcPr>
            <w:tcW w:w="692" w:type="pct"/>
            <w:vAlign w:val="center"/>
          </w:tcPr>
          <w:p w14:paraId="62464C5C" w14:textId="77777777"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80</w:t>
            </w:r>
          </w:p>
        </w:tc>
      </w:tr>
      <w:tr w:rsidR="00775C0C" w14:paraId="3A2D810F" w14:textId="77777777">
        <w:trPr>
          <w:trHeight w:val="680"/>
        </w:trPr>
        <w:tc>
          <w:tcPr>
            <w:tcW w:w="1062" w:type="pct"/>
            <w:vAlign w:val="center"/>
          </w:tcPr>
          <w:p w14:paraId="2CB3AE76" w14:textId="77777777" w:rsidR="00775C0C" w:rsidRDefault="00437C38">
            <w:pPr>
              <w:spacing w:line="240" w:lineRule="auto"/>
              <w:ind w:firstLineChars="0" w:firstLine="0"/>
              <w:rPr>
                <w:rFonts w:ascii="仿宋_GB2312" w:hAnsi="仿宋_GB2312" w:cs="仿宋_GB2312"/>
                <w:color w:val="000000"/>
                <w:kern w:val="0"/>
                <w:sz w:val="21"/>
                <w:szCs w:val="21"/>
                <w:lang w:bidi="ar"/>
              </w:rPr>
            </w:pPr>
            <w:r>
              <w:rPr>
                <w:rFonts w:ascii="仿宋_GB2312" w:hAnsi="仿宋_GB2312" w:cs="仿宋_GB2312" w:hint="eastAsia"/>
                <w:sz w:val="21"/>
                <w:szCs w:val="21"/>
              </w:rPr>
              <w:t>体育院校</w:t>
            </w:r>
          </w:p>
        </w:tc>
        <w:tc>
          <w:tcPr>
            <w:tcW w:w="551" w:type="pct"/>
            <w:vAlign w:val="center"/>
          </w:tcPr>
          <w:p w14:paraId="0438A17D" w14:textId="77777777"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13</w:t>
            </w:r>
          </w:p>
        </w:tc>
        <w:tc>
          <w:tcPr>
            <w:tcW w:w="862" w:type="pct"/>
            <w:vAlign w:val="center"/>
          </w:tcPr>
          <w:p w14:paraId="0B97E9DE" w14:textId="77777777"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15</w:t>
            </w:r>
          </w:p>
        </w:tc>
        <w:tc>
          <w:tcPr>
            <w:tcW w:w="1003" w:type="pct"/>
            <w:vAlign w:val="center"/>
          </w:tcPr>
          <w:p w14:paraId="5DF398A1" w14:textId="77777777"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22</w:t>
            </w:r>
          </w:p>
        </w:tc>
        <w:tc>
          <w:tcPr>
            <w:tcW w:w="827" w:type="pct"/>
            <w:vAlign w:val="center"/>
          </w:tcPr>
          <w:p w14:paraId="65332E0E" w14:textId="77777777"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3000</w:t>
            </w:r>
          </w:p>
        </w:tc>
        <w:tc>
          <w:tcPr>
            <w:tcW w:w="692" w:type="pct"/>
            <w:vAlign w:val="center"/>
          </w:tcPr>
          <w:p w14:paraId="777AB98E" w14:textId="77777777"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50</w:t>
            </w:r>
          </w:p>
        </w:tc>
      </w:tr>
      <w:tr w:rsidR="00775C0C" w14:paraId="2BECEF55" w14:textId="77777777">
        <w:trPr>
          <w:trHeight w:val="680"/>
        </w:trPr>
        <w:tc>
          <w:tcPr>
            <w:tcW w:w="1062" w:type="pct"/>
            <w:vAlign w:val="center"/>
          </w:tcPr>
          <w:p w14:paraId="7EBCFBAE" w14:textId="77777777" w:rsidR="00775C0C" w:rsidRDefault="00437C38">
            <w:pPr>
              <w:pStyle w:val="a5"/>
              <w:ind w:firstLineChars="0" w:firstLine="0"/>
              <w:rPr>
                <w:rFonts w:ascii="仿宋_GB2312" w:hAnsi="仿宋_GB2312" w:cs="仿宋_GB2312"/>
                <w:color w:val="000000"/>
                <w:kern w:val="0"/>
                <w:sz w:val="21"/>
                <w:szCs w:val="21"/>
                <w:lang w:bidi="ar"/>
              </w:rPr>
            </w:pPr>
            <w:r>
              <w:rPr>
                <w:rFonts w:ascii="仿宋_GB2312" w:hAnsi="仿宋_GB2312" w:cs="仿宋_GB2312" w:hint="eastAsia"/>
                <w:sz w:val="21"/>
                <w:szCs w:val="21"/>
              </w:rPr>
              <w:t>艺术院校</w:t>
            </w:r>
          </w:p>
        </w:tc>
        <w:tc>
          <w:tcPr>
            <w:tcW w:w="551" w:type="pct"/>
            <w:vAlign w:val="center"/>
          </w:tcPr>
          <w:p w14:paraId="33103D3F" w14:textId="77777777" w:rsidR="00775C0C" w:rsidRDefault="00437C38">
            <w:pPr>
              <w:pStyle w:val="a5"/>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13</w:t>
            </w:r>
          </w:p>
        </w:tc>
        <w:tc>
          <w:tcPr>
            <w:tcW w:w="862" w:type="pct"/>
            <w:vAlign w:val="center"/>
          </w:tcPr>
          <w:p w14:paraId="110A5742" w14:textId="77777777" w:rsidR="00775C0C" w:rsidRDefault="00437C38">
            <w:pPr>
              <w:pStyle w:val="a5"/>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15</w:t>
            </w:r>
          </w:p>
        </w:tc>
        <w:tc>
          <w:tcPr>
            <w:tcW w:w="1003" w:type="pct"/>
            <w:vAlign w:val="center"/>
          </w:tcPr>
          <w:p w14:paraId="54C22963" w14:textId="77777777" w:rsidR="00775C0C" w:rsidRDefault="00437C38">
            <w:pPr>
              <w:pStyle w:val="a5"/>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18</w:t>
            </w:r>
          </w:p>
        </w:tc>
        <w:tc>
          <w:tcPr>
            <w:tcW w:w="827" w:type="pct"/>
            <w:vAlign w:val="center"/>
          </w:tcPr>
          <w:p w14:paraId="37BA8D76" w14:textId="77777777" w:rsidR="00775C0C" w:rsidRDefault="00437C38">
            <w:pPr>
              <w:pStyle w:val="a5"/>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3000</w:t>
            </w:r>
          </w:p>
        </w:tc>
        <w:tc>
          <w:tcPr>
            <w:tcW w:w="692" w:type="pct"/>
            <w:vAlign w:val="center"/>
          </w:tcPr>
          <w:p w14:paraId="0AD1C12F" w14:textId="77777777" w:rsidR="00775C0C" w:rsidRDefault="00437C38">
            <w:pPr>
              <w:pStyle w:val="a5"/>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60</w:t>
            </w:r>
          </w:p>
        </w:tc>
      </w:tr>
    </w:tbl>
    <w:p w14:paraId="3BA65FC1" w14:textId="77777777" w:rsidR="00775C0C" w:rsidRDefault="00775C0C">
      <w:pPr>
        <w:spacing w:line="240" w:lineRule="auto"/>
        <w:ind w:firstLineChars="0" w:firstLine="0"/>
        <w:rPr>
          <w:rFonts w:ascii="Times New Roman" w:hAnsi="Times New Roman" w:cs="Times New Roman"/>
          <w:b/>
          <w:bCs/>
          <w:color w:val="000000"/>
          <w:kern w:val="0"/>
          <w:sz w:val="28"/>
          <w:szCs w:val="28"/>
          <w:lang w:bidi="ar"/>
        </w:rPr>
      </w:pPr>
    </w:p>
    <w:p w14:paraId="78360C73" w14:textId="77777777" w:rsidR="00CC7BF0" w:rsidRDefault="00CC7BF0">
      <w:pPr>
        <w:spacing w:line="240" w:lineRule="auto"/>
        <w:ind w:firstLineChars="0" w:firstLine="0"/>
        <w:rPr>
          <w:rFonts w:ascii="Times New Roman" w:hAnsi="Times New Roman" w:cs="Times New Roman"/>
          <w:b/>
          <w:bCs/>
          <w:color w:val="000000"/>
          <w:kern w:val="0"/>
          <w:sz w:val="28"/>
          <w:szCs w:val="28"/>
          <w:lang w:bidi="ar"/>
        </w:rPr>
      </w:pPr>
    </w:p>
    <w:p w14:paraId="4C88804D" w14:textId="77777777" w:rsidR="00CC7BF0" w:rsidRDefault="00CC7BF0">
      <w:pPr>
        <w:spacing w:line="240" w:lineRule="auto"/>
        <w:ind w:firstLineChars="0" w:firstLine="0"/>
        <w:rPr>
          <w:rFonts w:ascii="Times New Roman" w:hAnsi="Times New Roman" w:cs="Times New Roman"/>
          <w:b/>
          <w:bCs/>
          <w:color w:val="000000"/>
          <w:kern w:val="0"/>
          <w:sz w:val="28"/>
          <w:szCs w:val="28"/>
          <w:lang w:bidi="ar"/>
        </w:rPr>
      </w:pPr>
    </w:p>
    <w:p w14:paraId="78B43AB6" w14:textId="2D322805" w:rsidR="00775C0C" w:rsidRDefault="00437C38">
      <w:pPr>
        <w:spacing w:line="240" w:lineRule="auto"/>
        <w:ind w:firstLineChars="0" w:firstLine="0"/>
        <w:jc w:val="center"/>
        <w:rPr>
          <w:rFonts w:ascii="Times New Roman" w:eastAsia="黑体" w:hAnsi="Times New Roman" w:cs="Times New Roman"/>
          <w:color w:val="000000"/>
          <w:kern w:val="0"/>
          <w:szCs w:val="32"/>
          <w:lang w:bidi="ar"/>
        </w:rPr>
      </w:pPr>
      <w:r>
        <w:rPr>
          <w:rFonts w:ascii="Times New Roman" w:eastAsia="黑体" w:hAnsi="Times New Roman" w:cs="Times New Roman" w:hint="eastAsia"/>
          <w:color w:val="000000"/>
          <w:kern w:val="0"/>
          <w:szCs w:val="32"/>
          <w:lang w:bidi="ar"/>
        </w:rPr>
        <w:lastRenderedPageBreak/>
        <w:t>表</w:t>
      </w:r>
      <w:r w:rsidR="00CC7BF0">
        <w:rPr>
          <w:rFonts w:ascii="Times New Roman" w:eastAsia="黑体" w:hAnsi="Times New Roman" w:cs="Times New Roman" w:hint="eastAsia"/>
          <w:color w:val="000000"/>
          <w:kern w:val="0"/>
          <w:szCs w:val="32"/>
          <w:lang w:bidi="ar"/>
        </w:rPr>
        <w:t>2</w:t>
      </w:r>
      <w:r>
        <w:rPr>
          <w:rFonts w:ascii="Times New Roman" w:eastAsia="黑体" w:hAnsi="Times New Roman" w:cs="Times New Roman" w:hint="eastAsia"/>
          <w:color w:val="000000"/>
          <w:kern w:val="0"/>
          <w:szCs w:val="32"/>
          <w:lang w:bidi="ar"/>
        </w:rPr>
        <w:t>：高等职业学校办学条件重点监测</w:t>
      </w:r>
      <w:r>
        <w:rPr>
          <w:rFonts w:ascii="Times New Roman" w:eastAsia="黑体" w:hAnsi="Times New Roman" w:cs="Times New Roman"/>
          <w:color w:val="000000"/>
          <w:kern w:val="0"/>
          <w:szCs w:val="32"/>
          <w:lang w:bidi="ar"/>
        </w:rPr>
        <w:t>指标释义</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7"/>
        <w:gridCol w:w="1276"/>
        <w:gridCol w:w="1276"/>
        <w:gridCol w:w="1559"/>
        <w:gridCol w:w="3727"/>
      </w:tblGrid>
      <w:tr w:rsidR="00775C0C" w14:paraId="6E11CAB9" w14:textId="77777777" w:rsidTr="00CC7BF0">
        <w:trPr>
          <w:trHeight w:val="472"/>
          <w:tblHeader/>
          <w:jc w:val="center"/>
        </w:trPr>
        <w:tc>
          <w:tcPr>
            <w:tcW w:w="667" w:type="dxa"/>
            <w:tcBorders>
              <w:tl2br w:val="nil"/>
              <w:tr2bl w:val="nil"/>
            </w:tcBorders>
            <w:shd w:val="clear" w:color="auto" w:fill="auto"/>
            <w:vAlign w:val="center"/>
          </w:tcPr>
          <w:p w14:paraId="353D62E3" w14:textId="77777777" w:rsidR="00775C0C" w:rsidRDefault="00437C38">
            <w:pPr>
              <w:widowControl/>
              <w:spacing w:line="240" w:lineRule="auto"/>
              <w:ind w:firstLineChars="0" w:firstLine="0"/>
              <w:jc w:val="center"/>
              <w:textAlignment w:val="center"/>
              <w:rPr>
                <w:rFonts w:ascii="Times New Roman" w:eastAsia="宋体" w:hAnsi="Times New Roman" w:cs="Times New Roman"/>
                <w:b/>
                <w:bCs/>
                <w:color w:val="000000"/>
                <w:kern w:val="0"/>
                <w:sz w:val="21"/>
                <w:szCs w:val="21"/>
                <w:lang w:bidi="ar"/>
              </w:rPr>
            </w:pPr>
            <w:r>
              <w:rPr>
                <w:rFonts w:ascii="Times New Roman" w:eastAsia="宋体" w:hAnsi="Times New Roman" w:cs="Times New Roman"/>
                <w:b/>
                <w:bCs/>
                <w:color w:val="000000"/>
                <w:kern w:val="0"/>
                <w:sz w:val="21"/>
                <w:szCs w:val="21"/>
                <w:lang w:bidi="ar"/>
              </w:rPr>
              <w:t>序号</w:t>
            </w:r>
          </w:p>
        </w:tc>
        <w:tc>
          <w:tcPr>
            <w:tcW w:w="1276" w:type="dxa"/>
            <w:tcBorders>
              <w:tl2br w:val="nil"/>
              <w:tr2bl w:val="nil"/>
            </w:tcBorders>
            <w:shd w:val="clear" w:color="auto" w:fill="auto"/>
            <w:vAlign w:val="center"/>
          </w:tcPr>
          <w:p w14:paraId="0F07613B" w14:textId="77777777" w:rsidR="00775C0C" w:rsidRDefault="00437C38">
            <w:pPr>
              <w:widowControl/>
              <w:spacing w:line="240" w:lineRule="auto"/>
              <w:ind w:firstLineChars="0" w:firstLine="0"/>
              <w:jc w:val="center"/>
              <w:textAlignment w:val="center"/>
              <w:rPr>
                <w:rFonts w:ascii="Times New Roman" w:eastAsia="宋体" w:hAnsi="Times New Roman" w:cs="Times New Roman"/>
                <w:b/>
                <w:bCs/>
                <w:color w:val="000000"/>
                <w:kern w:val="0"/>
                <w:sz w:val="21"/>
                <w:szCs w:val="21"/>
                <w:lang w:bidi="ar"/>
              </w:rPr>
            </w:pPr>
            <w:r>
              <w:rPr>
                <w:rFonts w:ascii="Times New Roman" w:eastAsia="宋体" w:hAnsi="Times New Roman" w:cs="Times New Roman"/>
                <w:b/>
                <w:bCs/>
                <w:color w:val="000000"/>
                <w:kern w:val="0"/>
                <w:sz w:val="21"/>
                <w:szCs w:val="21"/>
                <w:lang w:bidi="ar"/>
              </w:rPr>
              <w:t>指标名称</w:t>
            </w:r>
          </w:p>
        </w:tc>
        <w:tc>
          <w:tcPr>
            <w:tcW w:w="1276" w:type="dxa"/>
            <w:tcBorders>
              <w:tl2br w:val="nil"/>
              <w:tr2bl w:val="nil"/>
            </w:tcBorders>
            <w:shd w:val="clear" w:color="auto" w:fill="auto"/>
            <w:noWrap/>
            <w:vAlign w:val="center"/>
          </w:tcPr>
          <w:p w14:paraId="2929C1D8" w14:textId="77777777" w:rsidR="00775C0C" w:rsidRDefault="00437C38">
            <w:pPr>
              <w:spacing w:line="240" w:lineRule="auto"/>
              <w:ind w:firstLineChars="0" w:firstLine="0"/>
              <w:jc w:val="center"/>
              <w:rPr>
                <w:rFonts w:ascii="Times New Roman" w:eastAsia="宋体" w:hAnsi="Times New Roman" w:cs="Times New Roman"/>
                <w:b/>
                <w:bCs/>
                <w:color w:val="000000"/>
                <w:kern w:val="0"/>
                <w:sz w:val="21"/>
                <w:szCs w:val="21"/>
                <w:lang w:bidi="ar"/>
              </w:rPr>
            </w:pPr>
            <w:r>
              <w:rPr>
                <w:rFonts w:ascii="Times New Roman" w:eastAsia="宋体" w:hAnsi="Times New Roman" w:cs="Times New Roman"/>
                <w:b/>
                <w:bCs/>
                <w:color w:val="000000"/>
                <w:kern w:val="0"/>
                <w:sz w:val="21"/>
                <w:szCs w:val="21"/>
                <w:lang w:bidi="ar"/>
              </w:rPr>
              <w:t>单位</w:t>
            </w:r>
          </w:p>
        </w:tc>
        <w:tc>
          <w:tcPr>
            <w:tcW w:w="1559" w:type="dxa"/>
            <w:tcBorders>
              <w:tl2br w:val="nil"/>
              <w:tr2bl w:val="nil"/>
            </w:tcBorders>
            <w:shd w:val="clear" w:color="auto" w:fill="auto"/>
            <w:noWrap/>
            <w:vAlign w:val="center"/>
          </w:tcPr>
          <w:p w14:paraId="41FE31CB" w14:textId="77777777" w:rsidR="00775C0C" w:rsidRDefault="00437C38">
            <w:pPr>
              <w:spacing w:line="240" w:lineRule="auto"/>
              <w:ind w:firstLineChars="0" w:firstLine="0"/>
              <w:jc w:val="center"/>
              <w:rPr>
                <w:rFonts w:ascii="Times New Roman" w:eastAsia="宋体" w:hAnsi="Times New Roman" w:cs="Times New Roman"/>
                <w:color w:val="000000"/>
                <w:sz w:val="21"/>
                <w:szCs w:val="21"/>
              </w:rPr>
            </w:pPr>
            <w:r>
              <w:rPr>
                <w:rFonts w:ascii="Times New Roman" w:eastAsia="宋体" w:hAnsi="Times New Roman" w:cs="Times New Roman" w:hint="eastAsia"/>
                <w:b/>
                <w:bCs/>
                <w:color w:val="000000"/>
                <w:kern w:val="0"/>
                <w:sz w:val="21"/>
                <w:szCs w:val="21"/>
                <w:lang w:bidi="ar"/>
              </w:rPr>
              <w:t>计算</w:t>
            </w:r>
            <w:r>
              <w:rPr>
                <w:rFonts w:ascii="Times New Roman" w:eastAsia="宋体" w:hAnsi="Times New Roman" w:cs="Times New Roman"/>
                <w:b/>
                <w:bCs/>
                <w:color w:val="000000"/>
                <w:kern w:val="0"/>
                <w:sz w:val="21"/>
                <w:szCs w:val="21"/>
                <w:lang w:bidi="ar"/>
              </w:rPr>
              <w:t>公式</w:t>
            </w:r>
          </w:p>
        </w:tc>
        <w:tc>
          <w:tcPr>
            <w:tcW w:w="3727" w:type="dxa"/>
            <w:tcBorders>
              <w:tl2br w:val="nil"/>
              <w:tr2bl w:val="nil"/>
            </w:tcBorders>
            <w:shd w:val="clear" w:color="auto" w:fill="auto"/>
            <w:noWrap/>
            <w:vAlign w:val="center"/>
          </w:tcPr>
          <w:p w14:paraId="4FC906AC" w14:textId="77777777" w:rsidR="00775C0C" w:rsidRDefault="00437C38">
            <w:pPr>
              <w:spacing w:line="240" w:lineRule="auto"/>
              <w:ind w:firstLineChars="0" w:firstLine="0"/>
              <w:jc w:val="center"/>
              <w:rPr>
                <w:rFonts w:ascii="Times New Roman" w:eastAsia="宋体" w:hAnsi="Times New Roman" w:cs="Times New Roman"/>
                <w:b/>
                <w:bCs/>
                <w:color w:val="000000"/>
                <w:kern w:val="0"/>
                <w:sz w:val="21"/>
                <w:szCs w:val="21"/>
                <w:lang w:bidi="ar"/>
              </w:rPr>
            </w:pPr>
            <w:r>
              <w:rPr>
                <w:rFonts w:ascii="Times New Roman" w:eastAsia="宋体" w:hAnsi="Times New Roman" w:cs="Times New Roman"/>
                <w:b/>
                <w:bCs/>
                <w:color w:val="000000"/>
                <w:kern w:val="0"/>
                <w:sz w:val="21"/>
                <w:szCs w:val="21"/>
                <w:lang w:bidi="ar"/>
              </w:rPr>
              <w:t>注释说明</w:t>
            </w:r>
          </w:p>
        </w:tc>
      </w:tr>
      <w:tr w:rsidR="00775C0C" w14:paraId="7EE2DAE1" w14:textId="77777777">
        <w:trPr>
          <w:trHeight w:val="303"/>
          <w:jc w:val="center"/>
        </w:trPr>
        <w:tc>
          <w:tcPr>
            <w:tcW w:w="667" w:type="dxa"/>
            <w:tcBorders>
              <w:tl2br w:val="nil"/>
              <w:tr2bl w:val="nil"/>
            </w:tcBorders>
            <w:shd w:val="clear" w:color="auto" w:fill="auto"/>
            <w:vAlign w:val="center"/>
          </w:tcPr>
          <w:p w14:paraId="3B9B1E08" w14:textId="77777777" w:rsidR="00775C0C" w:rsidRDefault="00775C0C">
            <w:pPr>
              <w:widowControl/>
              <w:numPr>
                <w:ilvl w:val="0"/>
                <w:numId w:val="2"/>
              </w:numPr>
              <w:spacing w:line="240" w:lineRule="auto"/>
              <w:ind w:left="0" w:firstLineChars="0" w:firstLine="0"/>
              <w:jc w:val="center"/>
              <w:textAlignment w:val="center"/>
              <w:rPr>
                <w:rFonts w:ascii="仿宋_GB2312" w:hAnsi="仿宋_GB2312" w:cs="仿宋_GB2312"/>
                <w:sz w:val="24"/>
                <w:szCs w:val="18"/>
              </w:rPr>
            </w:pPr>
          </w:p>
        </w:tc>
        <w:tc>
          <w:tcPr>
            <w:tcW w:w="1276" w:type="dxa"/>
            <w:tcBorders>
              <w:tl2br w:val="nil"/>
              <w:tr2bl w:val="nil"/>
            </w:tcBorders>
            <w:shd w:val="clear" w:color="auto" w:fill="auto"/>
            <w:vAlign w:val="center"/>
          </w:tcPr>
          <w:p w14:paraId="48DBF871" w14:textId="77777777" w:rsidR="00775C0C" w:rsidRDefault="00437C38">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生师比</w:t>
            </w:r>
          </w:p>
        </w:tc>
        <w:tc>
          <w:tcPr>
            <w:tcW w:w="1276" w:type="dxa"/>
            <w:tcBorders>
              <w:tl2br w:val="nil"/>
              <w:tr2bl w:val="nil"/>
            </w:tcBorders>
            <w:shd w:val="clear" w:color="auto" w:fill="auto"/>
            <w:noWrap/>
            <w:vAlign w:val="center"/>
          </w:tcPr>
          <w:p w14:paraId="39D6D13B" w14:textId="77777777"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color w:val="000000"/>
                <w:sz w:val="21"/>
                <w:szCs w:val="21"/>
              </w:rPr>
              <w:t>——</w:t>
            </w:r>
          </w:p>
        </w:tc>
        <w:tc>
          <w:tcPr>
            <w:tcW w:w="1559" w:type="dxa"/>
            <w:tcBorders>
              <w:tl2br w:val="nil"/>
              <w:tr2bl w:val="nil"/>
            </w:tcBorders>
            <w:shd w:val="clear" w:color="auto" w:fill="auto"/>
            <w:noWrap/>
            <w:vAlign w:val="center"/>
          </w:tcPr>
          <w:p w14:paraId="01259789" w14:textId="77777777"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color w:val="000000"/>
                <w:sz w:val="21"/>
                <w:szCs w:val="21"/>
              </w:rPr>
              <w:t>折合学生数/折合教师数</w:t>
            </w:r>
          </w:p>
        </w:tc>
        <w:tc>
          <w:tcPr>
            <w:tcW w:w="3727" w:type="dxa"/>
            <w:tcBorders>
              <w:tl2br w:val="nil"/>
              <w:tr2bl w:val="nil"/>
            </w:tcBorders>
            <w:shd w:val="clear" w:color="auto" w:fill="auto"/>
            <w:noWrap/>
            <w:vAlign w:val="center"/>
          </w:tcPr>
          <w:p w14:paraId="1A3300BE" w14:textId="77777777" w:rsidR="00775C0C" w:rsidRDefault="00437C38">
            <w:pPr>
              <w:spacing w:line="240" w:lineRule="auto"/>
              <w:ind w:firstLineChars="0" w:firstLine="0"/>
              <w:rPr>
                <w:rFonts w:ascii="仿宋_GB2312" w:hAnsi="仿宋_GB2312" w:cs="仿宋_GB2312"/>
                <w:sz w:val="21"/>
                <w:szCs w:val="21"/>
              </w:rPr>
            </w:pPr>
            <w:r>
              <w:rPr>
                <w:rFonts w:ascii="仿宋_GB2312" w:hAnsi="仿宋_GB2312" w:cs="仿宋_GB2312" w:hint="eastAsia"/>
                <w:sz w:val="21"/>
                <w:szCs w:val="21"/>
              </w:rPr>
              <w:t>折合学生数=高职（专科）在校生数+专科留学生在校生数+普通预科生注册生数+成人脱产在校生+成人业余在校生数*0.3+成人函授在校生数*0.1+附设中职班在校生*0.75。</w:t>
            </w:r>
          </w:p>
          <w:p w14:paraId="31B045AD" w14:textId="77777777" w:rsidR="00775C0C" w:rsidRDefault="00437C38">
            <w:pPr>
              <w:spacing w:line="240" w:lineRule="auto"/>
              <w:ind w:firstLineChars="0" w:firstLine="0"/>
              <w:rPr>
                <w:rFonts w:ascii="仿宋_GB2312" w:hAnsi="仿宋_GB2312" w:cs="仿宋_GB2312"/>
                <w:sz w:val="21"/>
                <w:szCs w:val="21"/>
                <w:lang w:bidi="ar"/>
              </w:rPr>
            </w:pPr>
            <w:r>
              <w:rPr>
                <w:rFonts w:ascii="仿宋_GB2312" w:hAnsi="仿宋_GB2312" w:cs="仿宋_GB2312" w:hint="eastAsia"/>
                <w:sz w:val="21"/>
                <w:szCs w:val="21"/>
              </w:rPr>
              <w:t>折合教师数=专</w:t>
            </w:r>
            <w:r>
              <w:rPr>
                <w:rFonts w:ascii="仿宋_GB2312" w:hAnsi="仿宋_GB2312" w:cs="仿宋_GB2312" w:hint="eastAsia"/>
                <w:sz w:val="21"/>
                <w:szCs w:val="21"/>
                <w:lang w:bidi="ar"/>
              </w:rPr>
              <w:t>任教师数+校外教师数*0.5+行业导师*0.5+外籍教师。</w:t>
            </w:r>
          </w:p>
          <w:p w14:paraId="526DDC38" w14:textId="77777777" w:rsidR="00775C0C" w:rsidRDefault="00437C38">
            <w:pPr>
              <w:spacing w:line="240" w:lineRule="auto"/>
              <w:ind w:firstLineChars="0" w:firstLine="0"/>
              <w:rPr>
                <w:rFonts w:ascii="仿宋_GB2312" w:hAnsi="仿宋_GB2312" w:cs="仿宋_GB2312"/>
                <w:sz w:val="21"/>
                <w:szCs w:val="21"/>
              </w:rPr>
            </w:pPr>
            <w:r>
              <w:rPr>
                <w:rFonts w:ascii="仿宋_GB2312" w:hAnsi="仿宋_GB2312" w:cs="仿宋_GB2312" w:hint="eastAsia"/>
                <w:sz w:val="21"/>
                <w:szCs w:val="21"/>
              </w:rPr>
              <w:t>专任教师：是指在学校专职从事教学工作的人员。</w:t>
            </w:r>
          </w:p>
          <w:p w14:paraId="5BA634C9" w14:textId="77777777"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color w:val="000000"/>
                <w:sz w:val="21"/>
                <w:szCs w:val="21"/>
              </w:rPr>
              <w:t>校外教师：是指聘请外校或外单位具有《中华人民共和国教师法》《教师资格条例》规定的高等教育学校教师资格，聘期在一学期以上，从事教学工作的人员。包括其他学校退休教师和本校退休教师。</w:t>
            </w:r>
          </w:p>
          <w:p w14:paraId="1243DC7D" w14:textId="77777777"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color w:val="000000"/>
                <w:sz w:val="21"/>
                <w:szCs w:val="21"/>
              </w:rPr>
              <w:t>行业导师：是指学校按照聘用流程，聘请的校外行业、企事业单位、科研机构等无教师资格证但参与协助教学工作的高技能人才，聘期为一学期及以上。</w:t>
            </w:r>
          </w:p>
          <w:p w14:paraId="506E563D" w14:textId="77777777"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color w:val="000000"/>
                <w:sz w:val="21"/>
                <w:szCs w:val="21"/>
              </w:rPr>
              <w:t>外籍教师：是指由学校聘任、取得外国人来华工作许可和工作类居留证件、在学校从事教育教学工作的外籍人员。</w:t>
            </w:r>
          </w:p>
          <w:p w14:paraId="33EF5028" w14:textId="77777777"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sz w:val="21"/>
                <w:szCs w:val="21"/>
              </w:rPr>
              <w:t>聘请校外教师和行业导师经折算后计入教师总数，原则上聘请校外教师和行业导师总数不超过专任教师总数的四分之一</w:t>
            </w:r>
          </w:p>
        </w:tc>
      </w:tr>
      <w:tr w:rsidR="00775C0C" w14:paraId="5CCE7C75" w14:textId="77777777">
        <w:trPr>
          <w:trHeight w:val="303"/>
          <w:jc w:val="center"/>
        </w:trPr>
        <w:tc>
          <w:tcPr>
            <w:tcW w:w="667" w:type="dxa"/>
            <w:tcBorders>
              <w:tl2br w:val="nil"/>
              <w:tr2bl w:val="nil"/>
            </w:tcBorders>
            <w:shd w:val="clear" w:color="auto" w:fill="auto"/>
            <w:vAlign w:val="center"/>
          </w:tcPr>
          <w:p w14:paraId="5FF3ED76" w14:textId="77777777" w:rsidR="00775C0C" w:rsidRDefault="00775C0C">
            <w:pPr>
              <w:widowControl/>
              <w:numPr>
                <w:ilvl w:val="0"/>
                <w:numId w:val="2"/>
              </w:numPr>
              <w:spacing w:line="240" w:lineRule="auto"/>
              <w:ind w:left="0" w:firstLineChars="0" w:firstLine="0"/>
              <w:jc w:val="center"/>
              <w:textAlignment w:val="center"/>
              <w:rPr>
                <w:rFonts w:ascii="仿宋_GB2312" w:hAnsi="仿宋_GB2312" w:cs="仿宋_GB2312"/>
                <w:sz w:val="24"/>
                <w:szCs w:val="18"/>
              </w:rPr>
            </w:pPr>
          </w:p>
        </w:tc>
        <w:tc>
          <w:tcPr>
            <w:tcW w:w="1276" w:type="dxa"/>
            <w:tcBorders>
              <w:tl2br w:val="nil"/>
              <w:tr2bl w:val="nil"/>
            </w:tcBorders>
            <w:shd w:val="clear" w:color="auto" w:fill="auto"/>
            <w:vAlign w:val="center"/>
          </w:tcPr>
          <w:p w14:paraId="2BE9AE4C" w14:textId="77777777" w:rsidR="00775C0C" w:rsidRDefault="00437C38">
            <w:pPr>
              <w:widowControl/>
              <w:spacing w:line="240" w:lineRule="auto"/>
              <w:ind w:firstLineChars="0" w:firstLine="0"/>
              <w:jc w:val="center"/>
              <w:textAlignment w:val="center"/>
              <w:rPr>
                <w:rFonts w:ascii="仿宋_GB2312" w:hAnsi="仿宋_GB2312" w:cs="仿宋_GB2312"/>
                <w:sz w:val="21"/>
                <w:szCs w:val="21"/>
              </w:rPr>
            </w:pPr>
            <w:r>
              <w:rPr>
                <w:rFonts w:ascii="仿宋_GB2312" w:hAnsi="仿宋_GB2312" w:cs="仿宋_GB2312" w:hint="eastAsia"/>
                <w:sz w:val="21"/>
                <w:szCs w:val="21"/>
              </w:rPr>
              <w:t>具有研究生学位教师占专任教师的比例</w:t>
            </w:r>
          </w:p>
        </w:tc>
        <w:tc>
          <w:tcPr>
            <w:tcW w:w="1276" w:type="dxa"/>
            <w:tcBorders>
              <w:tl2br w:val="nil"/>
              <w:tr2bl w:val="nil"/>
            </w:tcBorders>
            <w:shd w:val="clear" w:color="auto" w:fill="auto"/>
            <w:noWrap/>
            <w:vAlign w:val="center"/>
          </w:tcPr>
          <w:p w14:paraId="3ED058B3" w14:textId="77777777" w:rsidR="00775C0C" w:rsidRDefault="00437C38">
            <w:pPr>
              <w:spacing w:line="240" w:lineRule="auto"/>
              <w:ind w:firstLineChars="0" w:firstLine="0"/>
              <w:jc w:val="center"/>
              <w:rPr>
                <w:rFonts w:ascii="仿宋_GB2312" w:hAnsi="仿宋_GB2312" w:cs="仿宋_GB2312"/>
                <w:sz w:val="21"/>
                <w:szCs w:val="21"/>
              </w:rPr>
            </w:pPr>
            <w:r>
              <w:rPr>
                <w:rFonts w:ascii="仿宋_GB2312" w:hAnsi="仿宋_GB2312" w:cs="仿宋_GB2312" w:hint="eastAsia"/>
                <w:sz w:val="21"/>
                <w:szCs w:val="21"/>
              </w:rPr>
              <w:t>%</w:t>
            </w:r>
          </w:p>
        </w:tc>
        <w:tc>
          <w:tcPr>
            <w:tcW w:w="1559" w:type="dxa"/>
            <w:tcBorders>
              <w:tl2br w:val="nil"/>
              <w:tr2bl w:val="nil"/>
            </w:tcBorders>
            <w:shd w:val="clear" w:color="auto" w:fill="auto"/>
            <w:noWrap/>
            <w:vAlign w:val="center"/>
          </w:tcPr>
          <w:p w14:paraId="59E7A29E" w14:textId="77777777"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sz w:val="21"/>
                <w:szCs w:val="21"/>
              </w:rPr>
              <w:t>具有研究生学位专任教师数</w:t>
            </w:r>
            <w:r>
              <w:rPr>
                <w:rFonts w:ascii="仿宋_GB2312" w:hAnsi="仿宋_GB2312" w:cs="仿宋_GB2312" w:hint="eastAsia"/>
                <w:color w:val="000000"/>
                <w:sz w:val="21"/>
                <w:szCs w:val="21"/>
              </w:rPr>
              <w:t>/专任教师数</w:t>
            </w:r>
          </w:p>
        </w:tc>
        <w:tc>
          <w:tcPr>
            <w:tcW w:w="3727" w:type="dxa"/>
            <w:tcBorders>
              <w:tl2br w:val="nil"/>
              <w:tr2bl w:val="nil"/>
            </w:tcBorders>
            <w:shd w:val="clear" w:color="auto" w:fill="auto"/>
            <w:noWrap/>
            <w:vAlign w:val="center"/>
          </w:tcPr>
          <w:p w14:paraId="26566E34" w14:textId="77777777" w:rsidR="00775C0C" w:rsidRDefault="00775C0C">
            <w:pPr>
              <w:spacing w:line="240" w:lineRule="auto"/>
              <w:ind w:firstLineChars="0" w:firstLine="0"/>
              <w:rPr>
                <w:rFonts w:ascii="仿宋_GB2312" w:hAnsi="仿宋_GB2312" w:cs="仿宋_GB2312"/>
                <w:color w:val="000000"/>
                <w:sz w:val="21"/>
                <w:szCs w:val="21"/>
              </w:rPr>
            </w:pPr>
          </w:p>
        </w:tc>
      </w:tr>
      <w:tr w:rsidR="00775C0C" w14:paraId="6456789D" w14:textId="77777777">
        <w:trPr>
          <w:trHeight w:val="303"/>
          <w:jc w:val="center"/>
        </w:trPr>
        <w:tc>
          <w:tcPr>
            <w:tcW w:w="667" w:type="dxa"/>
            <w:tcBorders>
              <w:tl2br w:val="nil"/>
              <w:tr2bl w:val="nil"/>
            </w:tcBorders>
            <w:shd w:val="clear" w:color="auto" w:fill="auto"/>
            <w:vAlign w:val="center"/>
          </w:tcPr>
          <w:p w14:paraId="78897DDA" w14:textId="77777777" w:rsidR="00775C0C" w:rsidRDefault="00775C0C">
            <w:pPr>
              <w:widowControl/>
              <w:numPr>
                <w:ilvl w:val="0"/>
                <w:numId w:val="2"/>
              </w:numPr>
              <w:spacing w:line="240" w:lineRule="auto"/>
              <w:ind w:left="0" w:firstLineChars="0" w:firstLine="0"/>
              <w:jc w:val="center"/>
              <w:textAlignment w:val="center"/>
              <w:rPr>
                <w:rFonts w:ascii="仿宋_GB2312" w:hAnsi="仿宋_GB2312" w:cs="仿宋_GB2312"/>
                <w:sz w:val="24"/>
                <w:szCs w:val="18"/>
              </w:rPr>
            </w:pPr>
          </w:p>
        </w:tc>
        <w:tc>
          <w:tcPr>
            <w:tcW w:w="1276" w:type="dxa"/>
            <w:tcBorders>
              <w:tl2br w:val="nil"/>
              <w:tr2bl w:val="nil"/>
            </w:tcBorders>
            <w:shd w:val="clear" w:color="auto" w:fill="auto"/>
            <w:vAlign w:val="center"/>
          </w:tcPr>
          <w:p w14:paraId="4DADFCDF" w14:textId="77777777" w:rsidR="00775C0C" w:rsidRDefault="00437C38">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生均教学行政用房面积</w:t>
            </w:r>
          </w:p>
        </w:tc>
        <w:tc>
          <w:tcPr>
            <w:tcW w:w="1276" w:type="dxa"/>
            <w:tcBorders>
              <w:tl2br w:val="nil"/>
              <w:tr2bl w:val="nil"/>
            </w:tcBorders>
            <w:shd w:val="clear" w:color="auto" w:fill="auto"/>
            <w:noWrap/>
            <w:vAlign w:val="center"/>
          </w:tcPr>
          <w:p w14:paraId="26CAC769" w14:textId="77777777" w:rsidR="00775C0C" w:rsidRDefault="00437C38">
            <w:pPr>
              <w:spacing w:line="240" w:lineRule="auto"/>
              <w:ind w:firstLineChars="0" w:firstLine="0"/>
              <w:jc w:val="center"/>
              <w:rPr>
                <w:rFonts w:ascii="仿宋_GB2312" w:hAnsi="仿宋_GB2312" w:cs="仿宋_GB2312"/>
                <w:sz w:val="21"/>
                <w:szCs w:val="21"/>
              </w:rPr>
            </w:pPr>
            <w:r>
              <w:rPr>
                <w:rFonts w:ascii="仿宋_GB2312" w:hAnsi="仿宋_GB2312" w:cs="仿宋_GB2312" w:hint="eastAsia"/>
                <w:color w:val="000000"/>
                <w:kern w:val="0"/>
                <w:sz w:val="21"/>
                <w:szCs w:val="21"/>
                <w:lang w:bidi="ar"/>
              </w:rPr>
              <w:t>平方米/生</w:t>
            </w:r>
          </w:p>
        </w:tc>
        <w:tc>
          <w:tcPr>
            <w:tcW w:w="1559" w:type="dxa"/>
            <w:tcBorders>
              <w:tl2br w:val="nil"/>
              <w:tr2bl w:val="nil"/>
            </w:tcBorders>
            <w:shd w:val="clear" w:color="auto" w:fill="auto"/>
            <w:noWrap/>
            <w:vAlign w:val="center"/>
          </w:tcPr>
          <w:p w14:paraId="4C50DD29" w14:textId="77777777"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sz w:val="21"/>
                <w:szCs w:val="21"/>
              </w:rPr>
              <w:t>（</w:t>
            </w:r>
            <w:r>
              <w:rPr>
                <w:rFonts w:ascii="仿宋_GB2312" w:hAnsi="仿宋_GB2312" w:cs="仿宋_GB2312" w:hint="eastAsia"/>
                <w:kern w:val="0"/>
                <w:sz w:val="21"/>
                <w:szCs w:val="21"/>
              </w:rPr>
              <w:t>教学科研及辅助用房面积</w:t>
            </w:r>
            <w:r>
              <w:rPr>
                <w:rFonts w:ascii="仿宋_GB2312" w:hAnsi="仿宋_GB2312" w:cs="仿宋_GB2312" w:hint="eastAsia"/>
                <w:sz w:val="21"/>
                <w:szCs w:val="21"/>
              </w:rPr>
              <w:t>+行政用房面积）/</w:t>
            </w:r>
            <w:r>
              <w:rPr>
                <w:rFonts w:ascii="仿宋_GB2312" w:hAnsi="仿宋_GB2312" w:cs="仿宋_GB2312" w:hint="eastAsia"/>
                <w:color w:val="000000"/>
                <w:sz w:val="21"/>
                <w:szCs w:val="21"/>
              </w:rPr>
              <w:t>全日制学生数</w:t>
            </w:r>
          </w:p>
        </w:tc>
        <w:tc>
          <w:tcPr>
            <w:tcW w:w="3727" w:type="dxa"/>
            <w:tcBorders>
              <w:tl2br w:val="nil"/>
              <w:tr2bl w:val="nil"/>
            </w:tcBorders>
            <w:shd w:val="clear" w:color="auto" w:fill="auto"/>
            <w:noWrap/>
            <w:vAlign w:val="center"/>
          </w:tcPr>
          <w:p w14:paraId="55415BD0" w14:textId="77777777" w:rsidR="00775C0C" w:rsidRDefault="00437C38">
            <w:pPr>
              <w:spacing w:line="240" w:lineRule="auto"/>
              <w:ind w:firstLineChars="0" w:firstLine="0"/>
              <w:rPr>
                <w:rFonts w:ascii="仿宋_GB2312" w:hAnsi="仿宋_GB2312" w:cs="仿宋_GB2312"/>
                <w:sz w:val="21"/>
                <w:szCs w:val="21"/>
              </w:rPr>
            </w:pPr>
            <w:r>
              <w:rPr>
                <w:rFonts w:ascii="仿宋_GB2312" w:hAnsi="仿宋_GB2312" w:cs="仿宋_GB2312" w:hint="eastAsia"/>
                <w:sz w:val="21"/>
                <w:szCs w:val="21"/>
              </w:rPr>
              <w:t>教学科研及辅助用房：包括教室、图书馆、实验室、实习场所、专用科研用房、体育馆、会堂等。</w:t>
            </w:r>
          </w:p>
          <w:p w14:paraId="476C264F" w14:textId="77777777" w:rsidR="00775C0C" w:rsidRDefault="00437C38">
            <w:pPr>
              <w:spacing w:line="240" w:lineRule="auto"/>
              <w:ind w:firstLineChars="0" w:firstLine="0"/>
              <w:rPr>
                <w:rFonts w:ascii="仿宋_GB2312" w:hAnsi="仿宋_GB2312" w:cs="仿宋_GB2312"/>
                <w:sz w:val="21"/>
                <w:szCs w:val="21"/>
              </w:rPr>
            </w:pPr>
            <w:r>
              <w:rPr>
                <w:rFonts w:ascii="仿宋_GB2312" w:hAnsi="仿宋_GB2312" w:cs="仿宋_GB2312" w:hint="eastAsia"/>
                <w:sz w:val="21"/>
                <w:szCs w:val="21"/>
              </w:rPr>
              <w:t>行政用房：包括校行政办公用房和学院办公用房。校行政办公用房包括校级党政办公室、会议室、校史室、档案室、文印室、广播室、接待室、网络中心、财务结算中心。</w:t>
            </w:r>
          </w:p>
          <w:p w14:paraId="1B06862F" w14:textId="77777777" w:rsidR="00775C0C" w:rsidRDefault="00437C38">
            <w:pPr>
              <w:spacing w:line="240" w:lineRule="auto"/>
              <w:ind w:firstLineChars="0" w:firstLine="0"/>
              <w:rPr>
                <w:rFonts w:ascii="仿宋_GB2312" w:hAnsi="仿宋_GB2312" w:cs="仿宋_GB2312"/>
                <w:sz w:val="21"/>
                <w:szCs w:val="21"/>
              </w:rPr>
            </w:pPr>
            <w:r>
              <w:rPr>
                <w:rFonts w:ascii="仿宋_GB2312" w:hAnsi="仿宋_GB2312" w:cs="仿宋_GB2312" w:hint="eastAsia"/>
                <w:sz w:val="21"/>
                <w:szCs w:val="21"/>
              </w:rPr>
              <w:lastRenderedPageBreak/>
              <w:t>全日制学生数：</w:t>
            </w:r>
            <w:r>
              <w:rPr>
                <w:rFonts w:ascii="仿宋_GB2312" w:hAnsi="仿宋_GB2312" w:cs="仿宋_GB2312" w:hint="eastAsia"/>
                <w:kern w:val="0"/>
                <w:sz w:val="21"/>
                <w:szCs w:val="21"/>
              </w:rPr>
              <w:t>普通专科（高职）在校生数+留学生专科在校生数+预科生数+进修生数+成人脱产班学生数+本校中职在校生数</w:t>
            </w:r>
          </w:p>
        </w:tc>
      </w:tr>
      <w:tr w:rsidR="00775C0C" w14:paraId="59C40AE2" w14:textId="77777777">
        <w:trPr>
          <w:trHeight w:val="303"/>
          <w:jc w:val="center"/>
        </w:trPr>
        <w:tc>
          <w:tcPr>
            <w:tcW w:w="667" w:type="dxa"/>
            <w:tcBorders>
              <w:tl2br w:val="nil"/>
              <w:tr2bl w:val="nil"/>
            </w:tcBorders>
            <w:shd w:val="clear" w:color="auto" w:fill="auto"/>
            <w:vAlign w:val="center"/>
          </w:tcPr>
          <w:p w14:paraId="645DFA12" w14:textId="77777777" w:rsidR="00775C0C" w:rsidRDefault="00775C0C">
            <w:pPr>
              <w:widowControl/>
              <w:numPr>
                <w:ilvl w:val="0"/>
                <w:numId w:val="2"/>
              </w:numPr>
              <w:spacing w:line="240" w:lineRule="auto"/>
              <w:ind w:left="0" w:firstLineChars="0" w:firstLine="0"/>
              <w:jc w:val="center"/>
              <w:textAlignment w:val="center"/>
              <w:rPr>
                <w:rFonts w:ascii="仿宋_GB2312" w:hAnsi="仿宋_GB2312" w:cs="仿宋_GB2312"/>
                <w:sz w:val="24"/>
                <w:szCs w:val="18"/>
              </w:rPr>
            </w:pPr>
          </w:p>
        </w:tc>
        <w:tc>
          <w:tcPr>
            <w:tcW w:w="1276" w:type="dxa"/>
            <w:tcBorders>
              <w:tl2br w:val="nil"/>
              <w:tr2bl w:val="nil"/>
            </w:tcBorders>
            <w:shd w:val="clear" w:color="auto" w:fill="auto"/>
            <w:vAlign w:val="center"/>
          </w:tcPr>
          <w:p w14:paraId="044F78FB" w14:textId="77777777" w:rsidR="00775C0C" w:rsidRDefault="00437C38">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生均教学科研仪器设备值</w:t>
            </w:r>
          </w:p>
        </w:tc>
        <w:tc>
          <w:tcPr>
            <w:tcW w:w="1276" w:type="dxa"/>
            <w:tcBorders>
              <w:tl2br w:val="nil"/>
              <w:tr2bl w:val="nil"/>
            </w:tcBorders>
            <w:shd w:val="clear" w:color="auto" w:fill="auto"/>
            <w:noWrap/>
            <w:vAlign w:val="center"/>
          </w:tcPr>
          <w:p w14:paraId="77E0F2FF" w14:textId="77777777" w:rsidR="00775C0C" w:rsidRDefault="00437C38">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元/生</w:t>
            </w:r>
          </w:p>
        </w:tc>
        <w:tc>
          <w:tcPr>
            <w:tcW w:w="1559" w:type="dxa"/>
            <w:tcBorders>
              <w:tl2br w:val="nil"/>
              <w:tr2bl w:val="nil"/>
            </w:tcBorders>
            <w:shd w:val="clear" w:color="auto" w:fill="auto"/>
            <w:noWrap/>
            <w:vAlign w:val="center"/>
          </w:tcPr>
          <w:p w14:paraId="0BD71B39" w14:textId="77777777" w:rsidR="00775C0C" w:rsidRDefault="00437C38">
            <w:pPr>
              <w:widowControl/>
              <w:spacing w:line="240" w:lineRule="auto"/>
              <w:ind w:firstLineChars="0" w:firstLine="0"/>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教学科研仪器设备资产总值/</w:t>
            </w:r>
            <w:r>
              <w:rPr>
                <w:rFonts w:ascii="仿宋_GB2312" w:hAnsi="仿宋_GB2312" w:cs="仿宋_GB2312" w:hint="eastAsia"/>
                <w:color w:val="000000"/>
                <w:sz w:val="21"/>
                <w:szCs w:val="21"/>
              </w:rPr>
              <w:t>全日制学生数</w:t>
            </w:r>
          </w:p>
        </w:tc>
        <w:tc>
          <w:tcPr>
            <w:tcW w:w="3727" w:type="dxa"/>
            <w:tcBorders>
              <w:tl2br w:val="nil"/>
              <w:tr2bl w:val="nil"/>
            </w:tcBorders>
            <w:shd w:val="clear" w:color="auto" w:fill="auto"/>
            <w:noWrap/>
            <w:vAlign w:val="center"/>
          </w:tcPr>
          <w:p w14:paraId="563C137A" w14:textId="77777777" w:rsidR="00775C0C" w:rsidRDefault="00437C38">
            <w:pPr>
              <w:widowControl/>
              <w:spacing w:line="240" w:lineRule="auto"/>
              <w:ind w:firstLineChars="0" w:firstLine="0"/>
              <w:jc w:val="left"/>
              <w:textAlignment w:val="center"/>
              <w:rPr>
                <w:rFonts w:ascii="仿宋_GB2312" w:hAnsi="仿宋_GB2312" w:cs="仿宋_GB2312"/>
                <w:color w:val="000000"/>
                <w:sz w:val="21"/>
                <w:szCs w:val="21"/>
              </w:rPr>
            </w:pPr>
            <w:r>
              <w:rPr>
                <w:rFonts w:ascii="仿宋_GB2312" w:hAnsi="仿宋_GB2312" w:cs="仿宋_GB2312" w:hint="eastAsia"/>
                <w:sz w:val="21"/>
                <w:szCs w:val="21"/>
              </w:rPr>
              <w:t>教学科研仪器设备：</w:t>
            </w:r>
            <w:r>
              <w:rPr>
                <w:rFonts w:ascii="仿宋_GB2312" w:hAnsi="仿宋_GB2312" w:cs="仿宋_GB2312" w:hint="eastAsia"/>
                <w:kern w:val="0"/>
                <w:sz w:val="21"/>
                <w:szCs w:val="21"/>
              </w:rPr>
              <w:t>使用学校预算经费、科研经费、基建经费、校内部门自筹经费购买或接受捐赠的耐用时间在一年以上，单价1000元以上的教学、科研仪器设备，均应纳入仪器设备管理范围。主要包括</w:t>
            </w:r>
            <w:r>
              <w:rPr>
                <w:rFonts w:ascii="仿宋_GB2312" w:hAnsi="仿宋_GB2312" w:cs="仿宋_GB2312" w:hint="eastAsia"/>
                <w:color w:val="000000"/>
                <w:sz w:val="21"/>
                <w:szCs w:val="21"/>
              </w:rPr>
              <w:t>学校固定资产中用于教学、科研、实验、实习等仪器设备的资产值</w:t>
            </w:r>
          </w:p>
        </w:tc>
      </w:tr>
      <w:tr w:rsidR="00775C0C" w14:paraId="7A0DB2E0" w14:textId="77777777">
        <w:trPr>
          <w:trHeight w:val="303"/>
          <w:jc w:val="center"/>
        </w:trPr>
        <w:tc>
          <w:tcPr>
            <w:tcW w:w="667" w:type="dxa"/>
            <w:tcBorders>
              <w:tl2br w:val="nil"/>
              <w:tr2bl w:val="nil"/>
            </w:tcBorders>
            <w:shd w:val="clear" w:color="auto" w:fill="auto"/>
            <w:vAlign w:val="center"/>
          </w:tcPr>
          <w:p w14:paraId="50E25897" w14:textId="77777777" w:rsidR="00775C0C" w:rsidRDefault="00775C0C">
            <w:pPr>
              <w:widowControl/>
              <w:numPr>
                <w:ilvl w:val="0"/>
                <w:numId w:val="2"/>
              </w:numPr>
              <w:spacing w:line="240" w:lineRule="auto"/>
              <w:ind w:left="0" w:firstLineChars="0" w:firstLine="0"/>
              <w:jc w:val="center"/>
              <w:textAlignment w:val="center"/>
              <w:rPr>
                <w:rFonts w:ascii="仿宋_GB2312" w:hAnsi="仿宋_GB2312" w:cs="仿宋_GB2312"/>
                <w:sz w:val="24"/>
                <w:szCs w:val="18"/>
              </w:rPr>
            </w:pPr>
          </w:p>
        </w:tc>
        <w:tc>
          <w:tcPr>
            <w:tcW w:w="1276" w:type="dxa"/>
            <w:tcBorders>
              <w:tl2br w:val="nil"/>
              <w:tr2bl w:val="nil"/>
            </w:tcBorders>
            <w:shd w:val="clear" w:color="auto" w:fill="auto"/>
            <w:vAlign w:val="center"/>
          </w:tcPr>
          <w:p w14:paraId="166D868E" w14:textId="77777777" w:rsidR="00775C0C" w:rsidRDefault="00437C38">
            <w:pPr>
              <w:widowControl/>
              <w:spacing w:line="240" w:lineRule="auto"/>
              <w:ind w:firstLineChars="0" w:firstLine="0"/>
              <w:jc w:val="center"/>
              <w:textAlignment w:val="center"/>
              <w:rPr>
                <w:rFonts w:ascii="仿宋_GB2312" w:hAnsi="仿宋_GB2312" w:cs="仿宋_GB2312"/>
                <w:color w:val="000000"/>
                <w:kern w:val="0"/>
                <w:sz w:val="21"/>
                <w:szCs w:val="21"/>
                <w:lang w:bidi="ar"/>
              </w:rPr>
            </w:pPr>
            <w:r>
              <w:rPr>
                <w:rFonts w:ascii="仿宋_GB2312" w:hAnsi="仿宋_GB2312" w:cs="仿宋_GB2312" w:hint="eastAsia"/>
                <w:color w:val="000000"/>
                <w:kern w:val="0"/>
                <w:sz w:val="21"/>
                <w:szCs w:val="21"/>
                <w:lang w:bidi="ar"/>
              </w:rPr>
              <w:t>生均图书</w:t>
            </w:r>
          </w:p>
        </w:tc>
        <w:tc>
          <w:tcPr>
            <w:tcW w:w="1276" w:type="dxa"/>
            <w:tcBorders>
              <w:tl2br w:val="nil"/>
              <w:tr2bl w:val="nil"/>
            </w:tcBorders>
            <w:shd w:val="clear" w:color="auto" w:fill="auto"/>
            <w:noWrap/>
            <w:vAlign w:val="center"/>
          </w:tcPr>
          <w:p w14:paraId="02CFA612" w14:textId="77777777"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color w:val="000000"/>
                <w:kern w:val="0"/>
                <w:sz w:val="21"/>
                <w:szCs w:val="21"/>
                <w:lang w:bidi="ar"/>
              </w:rPr>
              <w:t>册/生</w:t>
            </w:r>
          </w:p>
        </w:tc>
        <w:tc>
          <w:tcPr>
            <w:tcW w:w="1559" w:type="dxa"/>
            <w:tcBorders>
              <w:tl2br w:val="nil"/>
              <w:tr2bl w:val="nil"/>
            </w:tcBorders>
            <w:shd w:val="clear" w:color="auto" w:fill="auto"/>
            <w:noWrap/>
            <w:vAlign w:val="center"/>
          </w:tcPr>
          <w:p w14:paraId="7322A1A8" w14:textId="77777777"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color w:val="000000"/>
                <w:sz w:val="21"/>
                <w:szCs w:val="21"/>
              </w:rPr>
              <w:t>图书册数/折合学生数</w:t>
            </w:r>
          </w:p>
        </w:tc>
        <w:tc>
          <w:tcPr>
            <w:tcW w:w="3727" w:type="dxa"/>
            <w:tcBorders>
              <w:tl2br w:val="nil"/>
              <w:tr2bl w:val="nil"/>
            </w:tcBorders>
            <w:shd w:val="clear" w:color="auto" w:fill="auto"/>
            <w:noWrap/>
            <w:vAlign w:val="center"/>
          </w:tcPr>
          <w:p w14:paraId="12A08ED1" w14:textId="77777777"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sz w:val="21"/>
                <w:szCs w:val="21"/>
              </w:rPr>
              <w:t>图书：</w:t>
            </w:r>
            <w:r>
              <w:rPr>
                <w:rFonts w:ascii="仿宋_GB2312" w:hAnsi="仿宋_GB2312" w:cs="仿宋_GB2312" w:hint="eastAsia"/>
                <w:color w:val="000000"/>
                <w:sz w:val="21"/>
                <w:szCs w:val="21"/>
              </w:rPr>
              <w:t>包括纸质图书和数字资源。</w:t>
            </w:r>
          </w:p>
          <w:p w14:paraId="349397CE" w14:textId="77777777" w:rsidR="00775C0C" w:rsidRDefault="00437C38">
            <w:pPr>
              <w:spacing w:line="240" w:lineRule="auto"/>
              <w:ind w:firstLineChars="0" w:firstLine="0"/>
              <w:rPr>
                <w:rFonts w:ascii="仿宋_GB2312" w:hAnsi="仿宋_GB2312" w:cs="仿宋_GB2312"/>
                <w:sz w:val="21"/>
                <w:szCs w:val="21"/>
              </w:rPr>
            </w:pPr>
            <w:r>
              <w:rPr>
                <w:rFonts w:ascii="仿宋_GB2312" w:hAnsi="仿宋_GB2312" w:cs="仿宋_GB2312" w:hint="eastAsia"/>
                <w:color w:val="000000"/>
                <w:sz w:val="21"/>
                <w:szCs w:val="21"/>
              </w:rPr>
              <w:t>纸质图书：</w:t>
            </w:r>
            <w:r>
              <w:rPr>
                <w:rFonts w:ascii="仿宋_GB2312" w:hAnsi="仿宋_GB2312" w:cs="仿宋_GB2312" w:hint="eastAsia"/>
                <w:sz w:val="21"/>
                <w:szCs w:val="21"/>
              </w:rPr>
              <w:t>是指学校图书馆及资料室拥有的正式出版的纸质书籍。</w:t>
            </w:r>
          </w:p>
          <w:p w14:paraId="1D33964D" w14:textId="77777777" w:rsidR="00775C0C" w:rsidRDefault="00437C38">
            <w:pPr>
              <w:spacing w:line="240" w:lineRule="auto"/>
              <w:ind w:firstLineChars="0" w:firstLine="0"/>
              <w:rPr>
                <w:rFonts w:ascii="仿宋_GB2312" w:hAnsi="仿宋_GB2312" w:cs="仿宋_GB2312"/>
                <w:sz w:val="21"/>
                <w:szCs w:val="21"/>
              </w:rPr>
            </w:pPr>
            <w:r>
              <w:rPr>
                <w:rFonts w:ascii="仿宋_GB2312" w:hAnsi="仿宋_GB2312" w:cs="仿宋_GB2312" w:hint="eastAsia"/>
                <w:sz w:val="21"/>
                <w:szCs w:val="21"/>
              </w:rPr>
              <w:t>数字资源：是指电子图书（包括与图书类似的出版物，如研究报告、会议论文集、标准等）、电子期刊（包括与期刊类似的连续出版物）、学位论文（包括本校原生的和付费购买的学位论文）及音视频（包括自建的和付费购买的音视频资料），试用的数字资源和免费使用的数字资源及随纸本书刊所配的光盘以及非书资料等不作为数字资源计量。</w:t>
            </w:r>
          </w:p>
          <w:p w14:paraId="5F19C0FE" w14:textId="77777777"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sz w:val="21"/>
                <w:szCs w:val="21"/>
              </w:rPr>
              <w:t>数字资源折合后计入图书资源总量，且所占比例最高不超过图书资源总量的40%</w:t>
            </w:r>
          </w:p>
        </w:tc>
      </w:tr>
    </w:tbl>
    <w:p w14:paraId="7A943D13" w14:textId="77777777" w:rsidR="00775C0C" w:rsidRDefault="00775C0C" w:rsidP="007A49B3">
      <w:pPr>
        <w:ind w:firstLineChars="0" w:firstLine="0"/>
        <w:rPr>
          <w:rFonts w:ascii="Times New Roman" w:hAnsi="Times New Roman" w:cs="Times New Roman"/>
        </w:rPr>
      </w:pPr>
    </w:p>
    <w:sectPr w:rsidR="00775C0C" w:rsidSect="007A49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FEE76" w14:textId="77777777" w:rsidR="009337DC" w:rsidRDefault="009337DC">
      <w:pPr>
        <w:spacing w:line="240" w:lineRule="auto"/>
        <w:ind w:firstLine="640"/>
      </w:pPr>
      <w:r>
        <w:separator/>
      </w:r>
    </w:p>
  </w:endnote>
  <w:endnote w:type="continuationSeparator" w:id="0">
    <w:p w14:paraId="4BC8E28D" w14:textId="77777777" w:rsidR="009337DC" w:rsidRDefault="009337DC">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宋体">
    <w:panose1 w:val="02010600030101010101"/>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仿宋_GB2312">
    <w:altName w:val="FangSong_GB2312"/>
    <w:charset w:val="86"/>
    <w:family w:val="modern"/>
    <w:pitch w:val="default"/>
    <w:sig w:usb0="00000001" w:usb1="080E0000" w:usb2="00000000" w:usb3="00000000" w:csb0="00040000" w:csb1="00000000"/>
  </w:font>
  <w:font w:name="Calibri Light">
    <w:panose1 w:val="020F0302020204030204"/>
    <w:charset w:val="00"/>
    <w:family w:val="auto"/>
    <w:pitch w:val="variable"/>
    <w:sig w:usb0="A00002EF" w:usb1="4000207B" w:usb2="00000000" w:usb3="00000000" w:csb0="0000009F" w:csb1="00000000"/>
  </w:font>
  <w:font w:name="方正小标宋简体">
    <w:altName w:val="微软雅黑"/>
    <w:charset w:val="86"/>
    <w:family w:val="auto"/>
    <w:pitch w:val="default"/>
    <w:sig w:usb0="00000001" w:usb1="080E0000" w:usb2="00000000" w:usb3="00000000" w:csb0="00040000" w:csb1="00000000"/>
  </w:font>
  <w:font w:name="黑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7EBEE" w14:textId="77777777" w:rsidR="009337DC" w:rsidRDefault="009337DC">
      <w:pPr>
        <w:spacing w:line="240" w:lineRule="auto"/>
        <w:ind w:firstLine="640"/>
      </w:pPr>
      <w:r>
        <w:separator/>
      </w:r>
    </w:p>
  </w:footnote>
  <w:footnote w:type="continuationSeparator" w:id="0">
    <w:p w14:paraId="44D9934F" w14:textId="77777777" w:rsidR="009337DC" w:rsidRDefault="009337DC">
      <w:pPr>
        <w:spacing w:line="240" w:lineRule="auto"/>
        <w:ind w:firstLine="64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77CF6B"/>
    <w:multiLevelType w:val="singleLevel"/>
    <w:tmpl w:val="9477CF6B"/>
    <w:lvl w:ilvl="0">
      <w:start w:val="1"/>
      <w:numFmt w:val="decimal"/>
      <w:lvlText w:val="%1."/>
      <w:lvlJc w:val="left"/>
      <w:pPr>
        <w:ind w:left="425" w:hanging="425"/>
      </w:pPr>
      <w:rPr>
        <w:rFonts w:hint="default"/>
      </w:rPr>
    </w:lvl>
  </w:abstractNum>
  <w:abstractNum w:abstractNumId="1">
    <w:nsid w:val="551E425C"/>
    <w:multiLevelType w:val="singleLevel"/>
    <w:tmpl w:val="551E425C"/>
    <w:lvl w:ilvl="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ZWFmOWM5MzA1NDYxNGIwNjI1Zjk1MzUzZjQ1ZDkifQ=="/>
  </w:docVars>
  <w:rsids>
    <w:rsidRoot w:val="00CB5B61"/>
    <w:rsid w:val="00035C2E"/>
    <w:rsid w:val="000471AA"/>
    <w:rsid w:val="00055B7E"/>
    <w:rsid w:val="00266CC8"/>
    <w:rsid w:val="00270574"/>
    <w:rsid w:val="002C6649"/>
    <w:rsid w:val="003309C4"/>
    <w:rsid w:val="0038125E"/>
    <w:rsid w:val="003E537D"/>
    <w:rsid w:val="004215B1"/>
    <w:rsid w:val="00437C38"/>
    <w:rsid w:val="0045072E"/>
    <w:rsid w:val="004718F7"/>
    <w:rsid w:val="004A0FEC"/>
    <w:rsid w:val="004A33A2"/>
    <w:rsid w:val="004B4086"/>
    <w:rsid w:val="0051691B"/>
    <w:rsid w:val="00563C7D"/>
    <w:rsid w:val="00577F8D"/>
    <w:rsid w:val="005B1029"/>
    <w:rsid w:val="005C248D"/>
    <w:rsid w:val="005E0FEC"/>
    <w:rsid w:val="005F53D1"/>
    <w:rsid w:val="00622722"/>
    <w:rsid w:val="0065432E"/>
    <w:rsid w:val="006610DF"/>
    <w:rsid w:val="00694E05"/>
    <w:rsid w:val="0069760C"/>
    <w:rsid w:val="006D0862"/>
    <w:rsid w:val="00721A1B"/>
    <w:rsid w:val="00775C0C"/>
    <w:rsid w:val="007A0F09"/>
    <w:rsid w:val="007A1575"/>
    <w:rsid w:val="007A49B3"/>
    <w:rsid w:val="007F12DE"/>
    <w:rsid w:val="0081429A"/>
    <w:rsid w:val="00861DA5"/>
    <w:rsid w:val="008B45DE"/>
    <w:rsid w:val="008F63F1"/>
    <w:rsid w:val="009337DC"/>
    <w:rsid w:val="0096777D"/>
    <w:rsid w:val="009A1DEB"/>
    <w:rsid w:val="00A51A22"/>
    <w:rsid w:val="00A7075C"/>
    <w:rsid w:val="00A95D5C"/>
    <w:rsid w:val="00B175ED"/>
    <w:rsid w:val="00B836A5"/>
    <w:rsid w:val="00B95C19"/>
    <w:rsid w:val="00BD6588"/>
    <w:rsid w:val="00BE4B1A"/>
    <w:rsid w:val="00BF364F"/>
    <w:rsid w:val="00BF6CCF"/>
    <w:rsid w:val="00CB510F"/>
    <w:rsid w:val="00CB5B61"/>
    <w:rsid w:val="00CC7BF0"/>
    <w:rsid w:val="00D15FC1"/>
    <w:rsid w:val="00D93837"/>
    <w:rsid w:val="00DD03A9"/>
    <w:rsid w:val="00E02489"/>
    <w:rsid w:val="00E701FC"/>
    <w:rsid w:val="00E76EBA"/>
    <w:rsid w:val="00E8451B"/>
    <w:rsid w:val="00F73CEB"/>
    <w:rsid w:val="00F745D6"/>
    <w:rsid w:val="00FA0C2D"/>
    <w:rsid w:val="00FF35FF"/>
    <w:rsid w:val="014C4071"/>
    <w:rsid w:val="017442FA"/>
    <w:rsid w:val="0183622C"/>
    <w:rsid w:val="022B47DC"/>
    <w:rsid w:val="025D01A7"/>
    <w:rsid w:val="02A06ECC"/>
    <w:rsid w:val="02D8783E"/>
    <w:rsid w:val="03045209"/>
    <w:rsid w:val="031116F3"/>
    <w:rsid w:val="031F3DF1"/>
    <w:rsid w:val="0362786D"/>
    <w:rsid w:val="044615E4"/>
    <w:rsid w:val="04A969B0"/>
    <w:rsid w:val="04B60D4C"/>
    <w:rsid w:val="04CC70C5"/>
    <w:rsid w:val="05060A8D"/>
    <w:rsid w:val="052523BF"/>
    <w:rsid w:val="05DC78B7"/>
    <w:rsid w:val="065E1773"/>
    <w:rsid w:val="068F5C6B"/>
    <w:rsid w:val="070F3643"/>
    <w:rsid w:val="07603356"/>
    <w:rsid w:val="082779D0"/>
    <w:rsid w:val="08600213"/>
    <w:rsid w:val="08ED21AE"/>
    <w:rsid w:val="08FC5636"/>
    <w:rsid w:val="09004079"/>
    <w:rsid w:val="096609CC"/>
    <w:rsid w:val="0AC87AA2"/>
    <w:rsid w:val="0AFF2A6C"/>
    <w:rsid w:val="0B572943"/>
    <w:rsid w:val="0B891CA7"/>
    <w:rsid w:val="0BAA7F01"/>
    <w:rsid w:val="0BE20391"/>
    <w:rsid w:val="0C044397"/>
    <w:rsid w:val="0CD1516C"/>
    <w:rsid w:val="0CD22AF3"/>
    <w:rsid w:val="0D272220"/>
    <w:rsid w:val="0E536D70"/>
    <w:rsid w:val="0EC90FFD"/>
    <w:rsid w:val="0F074218"/>
    <w:rsid w:val="0F3336F6"/>
    <w:rsid w:val="0F625AEA"/>
    <w:rsid w:val="0FBB425D"/>
    <w:rsid w:val="100033EE"/>
    <w:rsid w:val="109A0961"/>
    <w:rsid w:val="11DE742C"/>
    <w:rsid w:val="12B83440"/>
    <w:rsid w:val="12CF28CD"/>
    <w:rsid w:val="13143247"/>
    <w:rsid w:val="132E43BE"/>
    <w:rsid w:val="13337B71"/>
    <w:rsid w:val="13490132"/>
    <w:rsid w:val="13A527A5"/>
    <w:rsid w:val="13D1738A"/>
    <w:rsid w:val="15166692"/>
    <w:rsid w:val="154107F7"/>
    <w:rsid w:val="154E248D"/>
    <w:rsid w:val="158439B5"/>
    <w:rsid w:val="15A83269"/>
    <w:rsid w:val="16456A0A"/>
    <w:rsid w:val="171E28E6"/>
    <w:rsid w:val="17762581"/>
    <w:rsid w:val="177C679A"/>
    <w:rsid w:val="18706B95"/>
    <w:rsid w:val="18882CB8"/>
    <w:rsid w:val="18E15979"/>
    <w:rsid w:val="190A2E18"/>
    <w:rsid w:val="19C41028"/>
    <w:rsid w:val="1A5D3725"/>
    <w:rsid w:val="1A8C2496"/>
    <w:rsid w:val="1AB62E35"/>
    <w:rsid w:val="1B122762"/>
    <w:rsid w:val="1B4C5A10"/>
    <w:rsid w:val="1B937410"/>
    <w:rsid w:val="1BBA41F8"/>
    <w:rsid w:val="1BCC1C10"/>
    <w:rsid w:val="1C753E7E"/>
    <w:rsid w:val="1CCE4466"/>
    <w:rsid w:val="1D406792"/>
    <w:rsid w:val="1D976F4E"/>
    <w:rsid w:val="1DF722E8"/>
    <w:rsid w:val="1E540B22"/>
    <w:rsid w:val="1E647B35"/>
    <w:rsid w:val="1E6977FE"/>
    <w:rsid w:val="1F696FC7"/>
    <w:rsid w:val="1FA45952"/>
    <w:rsid w:val="1FC976BE"/>
    <w:rsid w:val="20471392"/>
    <w:rsid w:val="20883ECE"/>
    <w:rsid w:val="210E5226"/>
    <w:rsid w:val="22017213"/>
    <w:rsid w:val="22B03461"/>
    <w:rsid w:val="22B537AF"/>
    <w:rsid w:val="22B80E69"/>
    <w:rsid w:val="23690370"/>
    <w:rsid w:val="246E1627"/>
    <w:rsid w:val="24AA15AE"/>
    <w:rsid w:val="24F84776"/>
    <w:rsid w:val="25352461"/>
    <w:rsid w:val="254C1563"/>
    <w:rsid w:val="265231DC"/>
    <w:rsid w:val="274E68CF"/>
    <w:rsid w:val="276D1EB2"/>
    <w:rsid w:val="27D9741A"/>
    <w:rsid w:val="284C31DF"/>
    <w:rsid w:val="29C365F7"/>
    <w:rsid w:val="29FD282F"/>
    <w:rsid w:val="2A1F7759"/>
    <w:rsid w:val="2A6E7EA3"/>
    <w:rsid w:val="2A952A67"/>
    <w:rsid w:val="2A9F7442"/>
    <w:rsid w:val="2BDD0F12"/>
    <w:rsid w:val="2CBC7DEE"/>
    <w:rsid w:val="2D567A71"/>
    <w:rsid w:val="2E076D6F"/>
    <w:rsid w:val="2F00155B"/>
    <w:rsid w:val="2F991460"/>
    <w:rsid w:val="2FDC11D5"/>
    <w:rsid w:val="2FE907EA"/>
    <w:rsid w:val="30576C24"/>
    <w:rsid w:val="30F32296"/>
    <w:rsid w:val="3140197F"/>
    <w:rsid w:val="324C6951"/>
    <w:rsid w:val="32DD4AEB"/>
    <w:rsid w:val="330C31B1"/>
    <w:rsid w:val="33222F08"/>
    <w:rsid w:val="33D91A67"/>
    <w:rsid w:val="34E94366"/>
    <w:rsid w:val="358E461C"/>
    <w:rsid w:val="35D94150"/>
    <w:rsid w:val="35DF194D"/>
    <w:rsid w:val="35FE7713"/>
    <w:rsid w:val="36625EF3"/>
    <w:rsid w:val="36A1421D"/>
    <w:rsid w:val="36BC4D88"/>
    <w:rsid w:val="373B3ACD"/>
    <w:rsid w:val="37A07729"/>
    <w:rsid w:val="380F4D54"/>
    <w:rsid w:val="38B13162"/>
    <w:rsid w:val="3994316F"/>
    <w:rsid w:val="39981C2C"/>
    <w:rsid w:val="39A06A0E"/>
    <w:rsid w:val="3A382B89"/>
    <w:rsid w:val="3A8F74D3"/>
    <w:rsid w:val="3AE54E0F"/>
    <w:rsid w:val="3B727CE2"/>
    <w:rsid w:val="3C690325"/>
    <w:rsid w:val="3CD236A7"/>
    <w:rsid w:val="3CF16ABC"/>
    <w:rsid w:val="3E09606A"/>
    <w:rsid w:val="3E350391"/>
    <w:rsid w:val="3E8E76C1"/>
    <w:rsid w:val="3EBA7507"/>
    <w:rsid w:val="3F2E5B22"/>
    <w:rsid w:val="3FC829EB"/>
    <w:rsid w:val="400502EE"/>
    <w:rsid w:val="40550877"/>
    <w:rsid w:val="40601DD6"/>
    <w:rsid w:val="40A315E2"/>
    <w:rsid w:val="40D740AB"/>
    <w:rsid w:val="4162149D"/>
    <w:rsid w:val="419211CE"/>
    <w:rsid w:val="41D8023A"/>
    <w:rsid w:val="42011263"/>
    <w:rsid w:val="42213106"/>
    <w:rsid w:val="42F75E92"/>
    <w:rsid w:val="43880F63"/>
    <w:rsid w:val="438A2C86"/>
    <w:rsid w:val="439E3D8A"/>
    <w:rsid w:val="43EC3A1F"/>
    <w:rsid w:val="4462631A"/>
    <w:rsid w:val="44634A97"/>
    <w:rsid w:val="44676DCB"/>
    <w:rsid w:val="44A276F4"/>
    <w:rsid w:val="44C02C8B"/>
    <w:rsid w:val="45083325"/>
    <w:rsid w:val="45287AEB"/>
    <w:rsid w:val="45C04EF7"/>
    <w:rsid w:val="45DD5472"/>
    <w:rsid w:val="467454BF"/>
    <w:rsid w:val="467629D4"/>
    <w:rsid w:val="46A41C10"/>
    <w:rsid w:val="46CF366C"/>
    <w:rsid w:val="477021E1"/>
    <w:rsid w:val="477B3173"/>
    <w:rsid w:val="478E74A9"/>
    <w:rsid w:val="4815148D"/>
    <w:rsid w:val="4857240D"/>
    <w:rsid w:val="488B70C7"/>
    <w:rsid w:val="48E85CCF"/>
    <w:rsid w:val="4957740E"/>
    <w:rsid w:val="49C6610C"/>
    <w:rsid w:val="4A03345B"/>
    <w:rsid w:val="4B15132F"/>
    <w:rsid w:val="4BFB4538"/>
    <w:rsid w:val="4C764E3C"/>
    <w:rsid w:val="4CA90B19"/>
    <w:rsid w:val="4CBE6E7B"/>
    <w:rsid w:val="4CF22307"/>
    <w:rsid w:val="4D792D0D"/>
    <w:rsid w:val="4E0B644B"/>
    <w:rsid w:val="4E0E1B97"/>
    <w:rsid w:val="4F1663D1"/>
    <w:rsid w:val="4FAE41CE"/>
    <w:rsid w:val="4FFF6109"/>
    <w:rsid w:val="505B5F40"/>
    <w:rsid w:val="50721573"/>
    <w:rsid w:val="5099655E"/>
    <w:rsid w:val="50AF795A"/>
    <w:rsid w:val="524A7618"/>
    <w:rsid w:val="5253414F"/>
    <w:rsid w:val="52E33AC0"/>
    <w:rsid w:val="54705828"/>
    <w:rsid w:val="54A45BF1"/>
    <w:rsid w:val="54B6421E"/>
    <w:rsid w:val="55546EF7"/>
    <w:rsid w:val="55CC0850"/>
    <w:rsid w:val="562F1296"/>
    <w:rsid w:val="56427760"/>
    <w:rsid w:val="576176AA"/>
    <w:rsid w:val="57E65614"/>
    <w:rsid w:val="584C3B08"/>
    <w:rsid w:val="58C11622"/>
    <w:rsid w:val="58F36EE2"/>
    <w:rsid w:val="5948089B"/>
    <w:rsid w:val="594E6F14"/>
    <w:rsid w:val="59FD5015"/>
    <w:rsid w:val="5A107B37"/>
    <w:rsid w:val="5AB75F5E"/>
    <w:rsid w:val="5B655EEB"/>
    <w:rsid w:val="5BC36B85"/>
    <w:rsid w:val="5BD60666"/>
    <w:rsid w:val="5C2F2ED4"/>
    <w:rsid w:val="5C2F421A"/>
    <w:rsid w:val="5C33272E"/>
    <w:rsid w:val="5C657C3C"/>
    <w:rsid w:val="5DB267A4"/>
    <w:rsid w:val="5F9C5B3C"/>
    <w:rsid w:val="5FA60445"/>
    <w:rsid w:val="601949FC"/>
    <w:rsid w:val="6057789C"/>
    <w:rsid w:val="60D72C53"/>
    <w:rsid w:val="60E021DB"/>
    <w:rsid w:val="61170A71"/>
    <w:rsid w:val="61CD1687"/>
    <w:rsid w:val="62023C8E"/>
    <w:rsid w:val="620D1C5F"/>
    <w:rsid w:val="62DC32E3"/>
    <w:rsid w:val="62F06B52"/>
    <w:rsid w:val="63621163"/>
    <w:rsid w:val="64233680"/>
    <w:rsid w:val="64986E00"/>
    <w:rsid w:val="64AF6309"/>
    <w:rsid w:val="650A63D4"/>
    <w:rsid w:val="65D7023C"/>
    <w:rsid w:val="66217FFF"/>
    <w:rsid w:val="662D3578"/>
    <w:rsid w:val="66E176AC"/>
    <w:rsid w:val="66F07DAC"/>
    <w:rsid w:val="67315A97"/>
    <w:rsid w:val="67AD0985"/>
    <w:rsid w:val="681713A5"/>
    <w:rsid w:val="68276302"/>
    <w:rsid w:val="69282E42"/>
    <w:rsid w:val="698D6584"/>
    <w:rsid w:val="69D81A4D"/>
    <w:rsid w:val="6A8D6E88"/>
    <w:rsid w:val="6AE5205E"/>
    <w:rsid w:val="6B2B3A02"/>
    <w:rsid w:val="6BB60867"/>
    <w:rsid w:val="6CEF1588"/>
    <w:rsid w:val="6D453799"/>
    <w:rsid w:val="6DB63418"/>
    <w:rsid w:val="6DC8758D"/>
    <w:rsid w:val="6E1473AD"/>
    <w:rsid w:val="6E2A65EF"/>
    <w:rsid w:val="6E2F23BD"/>
    <w:rsid w:val="6EE113A4"/>
    <w:rsid w:val="6F1631BB"/>
    <w:rsid w:val="6F476D39"/>
    <w:rsid w:val="70974410"/>
    <w:rsid w:val="70C32BAD"/>
    <w:rsid w:val="70CE3BAA"/>
    <w:rsid w:val="70DA254F"/>
    <w:rsid w:val="72795E7F"/>
    <w:rsid w:val="72D62F96"/>
    <w:rsid w:val="72DB65F3"/>
    <w:rsid w:val="72E27499"/>
    <w:rsid w:val="736642B3"/>
    <w:rsid w:val="73F06E25"/>
    <w:rsid w:val="74385499"/>
    <w:rsid w:val="748E2BEA"/>
    <w:rsid w:val="750B2E38"/>
    <w:rsid w:val="7524761B"/>
    <w:rsid w:val="75686D81"/>
    <w:rsid w:val="758732C7"/>
    <w:rsid w:val="77476464"/>
    <w:rsid w:val="777173E5"/>
    <w:rsid w:val="783C135B"/>
    <w:rsid w:val="78E201F2"/>
    <w:rsid w:val="78F422E4"/>
    <w:rsid w:val="794C291D"/>
    <w:rsid w:val="79984225"/>
    <w:rsid w:val="79F15D80"/>
    <w:rsid w:val="7A3846A4"/>
    <w:rsid w:val="7A574389"/>
    <w:rsid w:val="7BFF683D"/>
    <w:rsid w:val="7C501917"/>
    <w:rsid w:val="7C807F68"/>
    <w:rsid w:val="7D9505DD"/>
    <w:rsid w:val="7E0A0084"/>
    <w:rsid w:val="7EE625C9"/>
    <w:rsid w:val="7F842003"/>
    <w:rsid w:val="7FC06834"/>
    <w:rsid w:val="7FE505C8"/>
    <w:rsid w:val="7FF95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1A3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560" w:lineRule="exact"/>
      <w:ind w:firstLineChars="200" w:firstLine="880"/>
      <w:jc w:val="both"/>
    </w:pPr>
    <w:rPr>
      <w:rFonts w:asciiTheme="minorHAnsi" w:eastAsia="仿宋_GB2312" w:hAnsiTheme="minorHAnsi" w:cstheme="minorBidi"/>
      <w:kern w:val="2"/>
      <w:sz w:val="32"/>
      <w:szCs w:val="24"/>
    </w:rPr>
  </w:style>
  <w:style w:type="paragraph" w:styleId="2">
    <w:name w:val="heading 2"/>
    <w:basedOn w:val="a"/>
    <w:next w:val="a"/>
    <w:uiPriority w:val="9"/>
    <w:qFormat/>
    <w:pPr>
      <w:keepNext/>
      <w:keepLines/>
      <w:spacing w:before="260" w:after="260" w:line="416" w:lineRule="auto"/>
      <w:outlineLvl w:val="1"/>
    </w:pPr>
    <w:rPr>
      <w:rFonts w:ascii="Calibri Light" w:eastAsia="宋体" w:hAnsi="Calibri Light" w:cs="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qFormat/>
    <w:pPr>
      <w:spacing w:after="120"/>
    </w:pPr>
  </w:style>
  <w:style w:type="paragraph" w:styleId="a6">
    <w:name w:val="footer"/>
    <w:basedOn w:val="a"/>
    <w:link w:val="a7"/>
    <w:uiPriority w:val="99"/>
    <w:qFormat/>
    <w:pPr>
      <w:tabs>
        <w:tab w:val="center" w:pos="4153"/>
        <w:tab w:val="right" w:pos="8306"/>
      </w:tabs>
      <w:snapToGrid w:val="0"/>
      <w:spacing w:line="240" w:lineRule="atLeast"/>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spacing w:line="240" w:lineRule="atLeast"/>
      <w:jc w:val="center"/>
    </w:pPr>
    <w:rPr>
      <w:sz w:val="18"/>
      <w:szCs w:val="18"/>
    </w:rPr>
  </w:style>
  <w:style w:type="paragraph" w:styleId="aa">
    <w:name w:val="Normal (Web)"/>
    <w:basedOn w:val="a"/>
    <w:qFormat/>
    <w:pPr>
      <w:spacing w:beforeAutospacing="1" w:afterAutospacing="1"/>
      <w:jc w:val="left"/>
    </w:pPr>
    <w:rPr>
      <w:rFonts w:cs="Times New Roman"/>
      <w:kern w:val="0"/>
      <w:sz w:val="24"/>
    </w:rPr>
  </w:style>
  <w:style w:type="paragraph" w:styleId="ab">
    <w:name w:val="annotation subject"/>
    <w:basedOn w:val="a3"/>
    <w:next w:val="a3"/>
    <w:link w:val="ac"/>
    <w:qFormat/>
    <w:rPr>
      <w:b/>
      <w:bCs/>
    </w:rPr>
  </w:style>
  <w:style w:type="table" w:styleId="ad">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qFormat/>
    <w:rPr>
      <w:sz w:val="21"/>
      <w:szCs w:val="21"/>
    </w:rPr>
  </w:style>
  <w:style w:type="character" w:customStyle="1" w:styleId="font11">
    <w:name w:val="font11"/>
    <w:basedOn w:val="a0"/>
    <w:qFormat/>
    <w:rPr>
      <w:rFonts w:ascii="宋体" w:eastAsia="宋体" w:hAnsi="宋体" w:cs="宋体" w:hint="eastAsia"/>
      <w:b/>
      <w:bCs/>
      <w:color w:val="000000"/>
      <w:sz w:val="21"/>
      <w:szCs w:val="21"/>
      <w:u w:val="none"/>
    </w:rPr>
  </w:style>
  <w:style w:type="paragraph" w:customStyle="1" w:styleId="Lry">
    <w:name w:val="Lry办公"/>
    <w:basedOn w:val="a"/>
    <w:qFormat/>
    <w:pPr>
      <w:ind w:firstLine="640"/>
    </w:pPr>
  </w:style>
  <w:style w:type="character" w:customStyle="1" w:styleId="a9">
    <w:name w:val="页眉字符"/>
    <w:basedOn w:val="a0"/>
    <w:link w:val="a8"/>
    <w:qFormat/>
    <w:rPr>
      <w:rFonts w:asciiTheme="minorHAnsi" w:eastAsia="仿宋_GB2312" w:hAnsiTheme="minorHAnsi" w:cstheme="minorBidi"/>
      <w:kern w:val="2"/>
      <w:sz w:val="18"/>
      <w:szCs w:val="18"/>
    </w:rPr>
  </w:style>
  <w:style w:type="character" w:customStyle="1" w:styleId="a7">
    <w:name w:val="页脚字符"/>
    <w:basedOn w:val="a0"/>
    <w:link w:val="a6"/>
    <w:uiPriority w:val="99"/>
    <w:qFormat/>
    <w:rPr>
      <w:rFonts w:asciiTheme="minorHAnsi" w:eastAsia="仿宋_GB2312" w:hAnsiTheme="minorHAnsi" w:cstheme="minorBidi"/>
      <w:kern w:val="2"/>
      <w:sz w:val="18"/>
      <w:szCs w:val="18"/>
    </w:rPr>
  </w:style>
  <w:style w:type="character" w:customStyle="1" w:styleId="a4">
    <w:name w:val="注释文本字符"/>
    <w:basedOn w:val="a0"/>
    <w:link w:val="a3"/>
    <w:qFormat/>
    <w:rPr>
      <w:rFonts w:asciiTheme="minorHAnsi" w:eastAsia="仿宋_GB2312" w:hAnsiTheme="minorHAnsi" w:cstheme="minorBidi"/>
      <w:kern w:val="2"/>
      <w:sz w:val="32"/>
      <w:szCs w:val="24"/>
    </w:rPr>
  </w:style>
  <w:style w:type="character" w:customStyle="1" w:styleId="ac">
    <w:name w:val="批注主题字符"/>
    <w:basedOn w:val="a4"/>
    <w:link w:val="ab"/>
    <w:qFormat/>
    <w:rPr>
      <w:rFonts w:asciiTheme="minorHAnsi" w:eastAsia="仿宋_GB2312" w:hAnsiTheme="minorHAnsi" w:cstheme="minorBidi"/>
      <w:b/>
      <w:bCs/>
      <w:kern w:val="2"/>
      <w:sz w:val="32"/>
      <w:szCs w:val="24"/>
    </w:rPr>
  </w:style>
  <w:style w:type="paragraph" w:customStyle="1" w:styleId="1">
    <w:name w:val="修订1"/>
    <w:hidden/>
    <w:uiPriority w:val="99"/>
    <w:semiHidden/>
    <w:qFormat/>
    <w:rPr>
      <w:rFonts w:asciiTheme="minorHAnsi" w:eastAsia="仿宋_GB2312" w:hAnsiTheme="minorHAnsi" w:cstheme="minorBidi"/>
      <w:kern w:val="2"/>
      <w:sz w:val="32"/>
      <w:szCs w:val="24"/>
    </w:rPr>
  </w:style>
  <w:style w:type="paragraph" w:styleId="af">
    <w:name w:val="Balloon Text"/>
    <w:basedOn w:val="a"/>
    <w:link w:val="af0"/>
    <w:rsid w:val="003309C4"/>
    <w:pPr>
      <w:spacing w:line="240" w:lineRule="auto"/>
    </w:pPr>
    <w:rPr>
      <w:sz w:val="18"/>
      <w:szCs w:val="18"/>
    </w:rPr>
  </w:style>
  <w:style w:type="character" w:customStyle="1" w:styleId="af0">
    <w:name w:val="批注框文本字符"/>
    <w:basedOn w:val="a0"/>
    <w:link w:val="af"/>
    <w:rsid w:val="003309C4"/>
    <w:rPr>
      <w:rFonts w:asciiTheme="minorHAnsi" w:eastAsia="仿宋_GB2312" w:hAnsiTheme="minorHAnsi" w:cstheme="minorBidi"/>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560" w:lineRule="exact"/>
      <w:ind w:firstLineChars="200" w:firstLine="880"/>
      <w:jc w:val="both"/>
    </w:pPr>
    <w:rPr>
      <w:rFonts w:asciiTheme="minorHAnsi" w:eastAsia="仿宋_GB2312" w:hAnsiTheme="minorHAnsi" w:cstheme="minorBidi"/>
      <w:kern w:val="2"/>
      <w:sz w:val="32"/>
      <w:szCs w:val="24"/>
    </w:rPr>
  </w:style>
  <w:style w:type="paragraph" w:styleId="2">
    <w:name w:val="heading 2"/>
    <w:basedOn w:val="a"/>
    <w:next w:val="a"/>
    <w:uiPriority w:val="9"/>
    <w:qFormat/>
    <w:pPr>
      <w:keepNext/>
      <w:keepLines/>
      <w:spacing w:before="260" w:after="260" w:line="416" w:lineRule="auto"/>
      <w:outlineLvl w:val="1"/>
    </w:pPr>
    <w:rPr>
      <w:rFonts w:ascii="Calibri Light" w:eastAsia="宋体" w:hAnsi="Calibri Light" w:cs="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qFormat/>
    <w:pPr>
      <w:spacing w:after="120"/>
    </w:pPr>
  </w:style>
  <w:style w:type="paragraph" w:styleId="a6">
    <w:name w:val="footer"/>
    <w:basedOn w:val="a"/>
    <w:link w:val="a7"/>
    <w:uiPriority w:val="99"/>
    <w:qFormat/>
    <w:pPr>
      <w:tabs>
        <w:tab w:val="center" w:pos="4153"/>
        <w:tab w:val="right" w:pos="8306"/>
      </w:tabs>
      <w:snapToGrid w:val="0"/>
      <w:spacing w:line="240" w:lineRule="atLeast"/>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spacing w:line="240" w:lineRule="atLeast"/>
      <w:jc w:val="center"/>
    </w:pPr>
    <w:rPr>
      <w:sz w:val="18"/>
      <w:szCs w:val="18"/>
    </w:rPr>
  </w:style>
  <w:style w:type="paragraph" w:styleId="aa">
    <w:name w:val="Normal (Web)"/>
    <w:basedOn w:val="a"/>
    <w:qFormat/>
    <w:pPr>
      <w:spacing w:beforeAutospacing="1" w:afterAutospacing="1"/>
      <w:jc w:val="left"/>
    </w:pPr>
    <w:rPr>
      <w:rFonts w:cs="Times New Roman"/>
      <w:kern w:val="0"/>
      <w:sz w:val="24"/>
    </w:rPr>
  </w:style>
  <w:style w:type="paragraph" w:styleId="ab">
    <w:name w:val="annotation subject"/>
    <w:basedOn w:val="a3"/>
    <w:next w:val="a3"/>
    <w:link w:val="ac"/>
    <w:qFormat/>
    <w:rPr>
      <w:b/>
      <w:bCs/>
    </w:rPr>
  </w:style>
  <w:style w:type="table" w:styleId="ad">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qFormat/>
    <w:rPr>
      <w:sz w:val="21"/>
      <w:szCs w:val="21"/>
    </w:rPr>
  </w:style>
  <w:style w:type="character" w:customStyle="1" w:styleId="font11">
    <w:name w:val="font11"/>
    <w:basedOn w:val="a0"/>
    <w:qFormat/>
    <w:rPr>
      <w:rFonts w:ascii="宋体" w:eastAsia="宋体" w:hAnsi="宋体" w:cs="宋体" w:hint="eastAsia"/>
      <w:b/>
      <w:bCs/>
      <w:color w:val="000000"/>
      <w:sz w:val="21"/>
      <w:szCs w:val="21"/>
      <w:u w:val="none"/>
    </w:rPr>
  </w:style>
  <w:style w:type="paragraph" w:customStyle="1" w:styleId="Lry">
    <w:name w:val="Lry办公"/>
    <w:basedOn w:val="a"/>
    <w:qFormat/>
    <w:pPr>
      <w:ind w:firstLine="640"/>
    </w:pPr>
  </w:style>
  <w:style w:type="character" w:customStyle="1" w:styleId="a9">
    <w:name w:val="页眉字符"/>
    <w:basedOn w:val="a0"/>
    <w:link w:val="a8"/>
    <w:qFormat/>
    <w:rPr>
      <w:rFonts w:asciiTheme="minorHAnsi" w:eastAsia="仿宋_GB2312" w:hAnsiTheme="minorHAnsi" w:cstheme="minorBidi"/>
      <w:kern w:val="2"/>
      <w:sz w:val="18"/>
      <w:szCs w:val="18"/>
    </w:rPr>
  </w:style>
  <w:style w:type="character" w:customStyle="1" w:styleId="a7">
    <w:name w:val="页脚字符"/>
    <w:basedOn w:val="a0"/>
    <w:link w:val="a6"/>
    <w:uiPriority w:val="99"/>
    <w:qFormat/>
    <w:rPr>
      <w:rFonts w:asciiTheme="minorHAnsi" w:eastAsia="仿宋_GB2312" w:hAnsiTheme="minorHAnsi" w:cstheme="minorBidi"/>
      <w:kern w:val="2"/>
      <w:sz w:val="18"/>
      <w:szCs w:val="18"/>
    </w:rPr>
  </w:style>
  <w:style w:type="character" w:customStyle="1" w:styleId="a4">
    <w:name w:val="注释文本字符"/>
    <w:basedOn w:val="a0"/>
    <w:link w:val="a3"/>
    <w:qFormat/>
    <w:rPr>
      <w:rFonts w:asciiTheme="minorHAnsi" w:eastAsia="仿宋_GB2312" w:hAnsiTheme="minorHAnsi" w:cstheme="minorBidi"/>
      <w:kern w:val="2"/>
      <w:sz w:val="32"/>
      <w:szCs w:val="24"/>
    </w:rPr>
  </w:style>
  <w:style w:type="character" w:customStyle="1" w:styleId="ac">
    <w:name w:val="批注主题字符"/>
    <w:basedOn w:val="a4"/>
    <w:link w:val="ab"/>
    <w:qFormat/>
    <w:rPr>
      <w:rFonts w:asciiTheme="minorHAnsi" w:eastAsia="仿宋_GB2312" w:hAnsiTheme="minorHAnsi" w:cstheme="minorBidi"/>
      <w:b/>
      <w:bCs/>
      <w:kern w:val="2"/>
      <w:sz w:val="32"/>
      <w:szCs w:val="24"/>
    </w:rPr>
  </w:style>
  <w:style w:type="paragraph" w:customStyle="1" w:styleId="1">
    <w:name w:val="修订1"/>
    <w:hidden/>
    <w:uiPriority w:val="99"/>
    <w:semiHidden/>
    <w:qFormat/>
    <w:rPr>
      <w:rFonts w:asciiTheme="minorHAnsi" w:eastAsia="仿宋_GB2312" w:hAnsiTheme="minorHAnsi" w:cstheme="minorBidi"/>
      <w:kern w:val="2"/>
      <w:sz w:val="32"/>
      <w:szCs w:val="24"/>
    </w:rPr>
  </w:style>
  <w:style w:type="paragraph" w:styleId="af">
    <w:name w:val="Balloon Text"/>
    <w:basedOn w:val="a"/>
    <w:link w:val="af0"/>
    <w:rsid w:val="003309C4"/>
    <w:pPr>
      <w:spacing w:line="240" w:lineRule="auto"/>
    </w:pPr>
    <w:rPr>
      <w:sz w:val="18"/>
      <w:szCs w:val="18"/>
    </w:rPr>
  </w:style>
  <w:style w:type="character" w:customStyle="1" w:styleId="af0">
    <w:name w:val="批注框文本字符"/>
    <w:basedOn w:val="a0"/>
    <w:link w:val="af"/>
    <w:rsid w:val="003309C4"/>
    <w:rPr>
      <w:rFonts w:asciiTheme="minorHAnsi" w:eastAsia="仿宋_GB2312"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F6D93-876F-9D4D-BCF2-52C46CA57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233</Words>
  <Characters>1333</Characters>
  <Application>Microsoft Macintosh Word</Application>
  <DocSecurity>0</DocSecurity>
  <Lines>11</Lines>
  <Paragraphs>3</Paragraphs>
  <ScaleCrop>false</ScaleCrop>
  <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孙辉</dc:creator>
  <cp:lastModifiedBy>昊天嘉华教育</cp:lastModifiedBy>
  <cp:revision>2</cp:revision>
  <cp:lastPrinted>2022-11-03T10:40:00Z</cp:lastPrinted>
  <dcterms:created xsi:type="dcterms:W3CDTF">2024-12-09T11:19:00Z</dcterms:created>
  <dcterms:modified xsi:type="dcterms:W3CDTF">2024-12-09T11:19:00Z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B91276ABB515469DAA70AC6629584015</vt:lpwstr>
  </property>
  <property fmtid="{D5CDD505-2E9C-101B-9397-08002B2CF9AE}" pid="4" name="commondata">
    <vt:lpwstr>eyJoZGlkIjoiMGRiODA4Mjk1ZDhhOGY3NGY3OTdiMDg2NjRhNjA3YjgifQ==</vt:lpwstr>
  </property>
</Properties>
</file>